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BGH-Grundsätze — Bereicherungsausgleich im Dreieck (Zusammenfassung)</w:t>
      </w:r>
    </w:p>
    <w:p>
      <w:pPr>
        <w:jc w:val="left"/>
      </w:pPr>
      <w:r>
        <w:rPr>
          <w:b/>
        </w:rPr>
        <w:t>Aktenzeichen:</w:t>
      </w:r>
      <w:r>
        <w:t xml:space="preserve"> Alle (LG Bonn 16 O 211/26, AG Hamburg 67 IN 88/26)</w:t>
      </w:r>
    </w:p>
    <w:p>
      <w:pPr>
        <w:jc w:val="left"/>
      </w:pPr>
      <w:r>
        <w:rPr>
          <w:b/>
        </w:rPr>
        <w:t>Rechtsfrage:</w:t>
      </w:r>
      <w:r>
        <w:t xml:space="preserve"> Systematische Darstellung der BGH-Grundsätze</w:t>
      </w:r>
    </w:p>
    <w:p/>
    <w:p>
      <w:pPr>
        <w:pStyle w:val="Heading2"/>
      </w:pPr>
      <w:r>
        <w:rPr>
          <w:rFonts w:ascii="Times New Roman" w:hAnsi="Times New Roman"/>
        </w:rPr>
        <w:t>1. Leitmotiv: Schutz des Leistungsmittlers</w:t>
      </w:r>
    </w:p>
    <w:p>
      <w:pPr>
        <w:jc w:val="left"/>
      </w:pPr>
      <w:r>
        <w:t>Der BGH hat in ständiger Rechtsprechung (seit BGHZ 40, 272 = 1964)</w:t>
      </w:r>
    </w:p>
    <w:p>
      <w:pPr>
        <w:jc w:val="left"/>
      </w:pPr>
      <w:r>
        <w:t>den Grundsatz entwickelt, dass bei Anweisungslagen der Bereicherungsausgleich</w:t>
      </w:r>
    </w:p>
    <w:p>
      <w:pPr>
        <w:jc w:val="left"/>
      </w:pPr>
      <w:r>
        <w:t>grundsätzlich entlang der Leistungsbeziehungen (= der Kausalverhältnisse)</w:t>
      </w:r>
    </w:p>
    <w:p>
      <w:pPr>
        <w:jc w:val="left"/>
      </w:pPr>
      <w:r>
        <w:t>abgewickelt wird:</w:t>
      </w:r>
    </w:p>
    <w:p>
      <w:pPr>
        <w:jc w:val="left"/>
      </w:pPr>
      <w:r>
        <w:rPr>
          <w:b/>
        </w:rPr>
        <w:t>Grundregel:</w:t>
      </w:r>
      <w:r>
        <w:t xml:space="preserve"> Wer gegenüber wem geleistet hat, der kondiziert auch</w:t>
      </w:r>
    </w:p>
    <w:p>
      <w:pPr>
        <w:jc w:val="left"/>
      </w:pPr>
      <w:r>
        <w:t>gegenüber dem Empfänger seiner Leistung.</w:t>
      </w:r>
    </w:p>
    <w:p/>
    <w:p>
      <w:pPr>
        <w:pStyle w:val="Heading2"/>
      </w:pPr>
      <w:r>
        <w:rPr>
          <w:rFonts w:ascii="Times New Roman" w:hAnsi="Times New Roman"/>
        </w:rPr>
        <w:t>2. Fallgruppen im Dreieck</w:t>
      </w:r>
    </w:p>
    <w:p>
      <w:pPr>
        <w:pStyle w:val="Heading3"/>
      </w:pPr>
      <w:r>
        <w:rPr>
          <w:rFonts w:ascii="Times New Roman" w:hAnsi="Times New Roman"/>
        </w:rPr>
        <w:t>2.1 Wirksame Anweisung — fehlendes Valutaverhältnis</w:t>
      </w:r>
    </w:p>
    <w:p>
      <w:pPr>
        <w:jc w:val="left"/>
      </w:pPr>
      <w:r>
        <w:t>Konstellation: Anweisender (A) weist Bank (B) an, an Empfänger (C) zu zahlen.</w:t>
      </w:r>
    </w:p>
    <w:p>
      <w:pPr>
        <w:jc w:val="left"/>
      </w:pPr>
      <w:r>
        <w:t>Valutaverhältnis (A — C) fehlt oder ist nichtig.</w:t>
      </w:r>
    </w:p>
    <w:p>
      <w:pPr>
        <w:jc w:val="left"/>
      </w:pPr>
      <w:r>
        <w:rPr>
          <w:b/>
        </w:rPr>
        <w:t>BGH-Lösung:</w:t>
      </w:r>
      <w:r>
        <w:t xml:space="preserve"> C kondiziert gegen A (nicht gegen B),</w:t>
      </w:r>
    </w:p>
    <w:p>
      <w:pPr>
        <w:jc w:val="left"/>
      </w:pPr>
      <w:r>
        <w:t>denn A hat gegenüber C geleistet (Valutaverhältnis).</w:t>
      </w:r>
    </w:p>
    <w:p>
      <w:pPr>
        <w:jc w:val="left"/>
      </w:pPr>
      <w:r>
        <w:t>B kann ggü. A Aufwendungsersatz verlangen (Deckungsverhältnis).</w:t>
      </w:r>
    </w:p>
    <w:p>
      <w:pPr>
        <w:pStyle w:val="Heading3"/>
      </w:pPr>
      <w:r>
        <w:rPr>
          <w:rFonts w:ascii="Times New Roman" w:hAnsi="Times New Roman"/>
        </w:rPr>
        <w:t>2.2 Nichtige Anweisung — wirksames Valutaverhältnis (unser Fall!)</w:t>
      </w:r>
    </w:p>
    <w:p>
      <w:pPr>
        <w:jc w:val="left"/>
      </w:pPr>
      <w:r>
        <w:t>Konstellation: Anweisung (A → B) nichtig (Paragraf 119 BGB Anfechtung);</w:t>
      </w:r>
    </w:p>
    <w:p>
      <w:pPr>
        <w:jc w:val="left"/>
      </w:pPr>
      <w:r>
        <w:t>Valutaverhältnis (A — C) besteht.</w:t>
      </w:r>
    </w:p>
    <w:p>
      <w:pPr>
        <w:jc w:val="left"/>
      </w:pPr>
      <w:r>
        <w:rPr>
          <w:b/>
        </w:rPr>
        <w:t>BGH-Lösung:</w:t>
      </w:r>
    </w:p>
    <w:p>
      <w:pPr>
        <w:pStyle w:val="ListBullet"/>
      </w:pPr>
      <w:r>
        <w:t>B kondiziert gegen C (da B keine wirksame Anweisung hatte und daher</w:t>
      </w:r>
    </w:p>
    <w:p>
      <w:pPr>
        <w:jc w:val="left"/>
      </w:pPr>
      <w:r>
        <w:t>„auf eigene Rechnung" zahlte — B ist im Außenverhältnis Leistnder)</w:t>
      </w:r>
    </w:p>
    <w:p>
      <w:pPr>
        <w:pStyle w:val="ListBullet"/>
      </w:pPr>
      <w:r>
        <w:t>A kondiziert gegen B (da B unberechtigterweise Konto des A belastete)</w:t>
      </w:r>
    </w:p>
    <w:p>
      <w:pPr>
        <w:pStyle w:val="ListBullet"/>
      </w:pPr>
      <w:r>
        <w:t>A hat keine Direktkondiktion gegen C</w:t>
      </w:r>
    </w:p>
    <w:p>
      <w:pPr>
        <w:jc w:val="left"/>
      </w:pPr>
      <w:r>
        <w:rPr>
          <w:b/>
        </w:rPr>
        <w:t>Im Fall Schmiedeknecht:</w:t>
      </w:r>
    </w:p>
    <w:p>
      <w:pPr>
        <w:pStyle w:val="ListBullet"/>
      </w:pPr>
      <w:r>
        <w:t>Volksbank Bonn kondiziert gegen Schmiedeknecht-KG (Paragraf 812 BGB)</w:t>
      </w:r>
    </w:p>
    <w:p>
      <w:pPr>
        <w:pStyle w:val="ListBullet"/>
      </w:pPr>
      <w:r>
        <w:t>Bischof-Hellberg kondiziert gegen Volksbank Bonn (Paragraf 675u BGB)</w:t>
      </w:r>
    </w:p>
    <w:p>
      <w:pPr>
        <w:pStyle w:val="Heading3"/>
      </w:pPr>
      <w:r>
        <w:rPr>
          <w:rFonts w:ascii="Times New Roman" w:hAnsi="Times New Roman"/>
        </w:rPr>
        <w:t>2.3 Beide Verhältnisse nichtig</w:t>
      </w:r>
    </w:p>
    <w:p>
      <w:pPr>
        <w:jc w:val="left"/>
      </w:pPr>
      <w:r>
        <w:t>Konstellation: Anweisung nichtig UND Valutaverhältnis nichtig.</w:t>
      </w:r>
    </w:p>
    <w:p>
      <w:pPr>
        <w:jc w:val="left"/>
      </w:pPr>
      <w:r>
        <w:rPr>
          <w:b/>
        </w:rPr>
        <w:t>BGH-Lösung:</w:t>
      </w:r>
      <w:r>
        <w:t xml:space="preserve"> Grundsätzlich wie 2.2 (Abwicklung in der Kette);</w:t>
      </w:r>
    </w:p>
    <w:p>
      <w:pPr>
        <w:jc w:val="left"/>
      </w:pPr>
      <w:r>
        <w:t>Direktkondiktion ausnahmsweise zulässig, wenn:</w:t>
      </w:r>
    </w:p>
    <w:p>
      <w:pPr>
        <w:pStyle w:val="ListBullet"/>
      </w:pPr>
      <w:r>
        <w:t>Empfänger bösgläubig war (Paragraf 819 BGB analog)</w:t>
      </w:r>
    </w:p>
    <w:p>
      <w:pPr>
        <w:pStyle w:val="ListBullet"/>
      </w:pPr>
      <w:r>
        <w:t>Rechtsmissbrauch</w:t>
      </w:r>
    </w:p>
    <w:p/>
    <w:p>
      <w:pPr>
        <w:pStyle w:val="Heading2"/>
      </w:pPr>
      <w:r>
        <w:rPr>
          <w:rFonts w:ascii="Times New Roman" w:hAnsi="Times New Roman"/>
        </w:rPr>
        <w:t>3. Abweichungen von der Leistungskettentheorie</w:t>
      </w:r>
    </w:p>
    <w:p>
      <w:pPr>
        <w:pStyle w:val="Heading3"/>
      </w:pPr>
      <w:r>
        <w:rPr>
          <w:rFonts w:ascii="Times New Roman" w:hAnsi="Times New Roman"/>
        </w:rPr>
        <w:t>3.1 Leistung ohne Tilgungsbestimmung</w:t>
      </w:r>
    </w:p>
    <w:p>
      <w:pPr>
        <w:jc w:val="left"/>
      </w:pPr>
      <w:r>
        <w:t>Fehlt eine klare Tilgungsbestimmung, kann die Zuordnung der Leistung schwierig sein.</w:t>
      </w:r>
    </w:p>
    <w:p>
      <w:pPr>
        <w:jc w:val="left"/>
      </w:pPr>
      <w:r>
        <w:t>BGH: Maßgeblich ist der objektive Empfängerhorizont.</w:t>
      </w:r>
    </w:p>
    <w:p>
      <w:pPr>
        <w:pStyle w:val="Heading3"/>
      </w:pPr>
      <w:r>
        <w:rPr>
          <w:rFonts w:ascii="Times New Roman" w:hAnsi="Times New Roman"/>
        </w:rPr>
        <w:t>3.2 Schutzbefohlene und Minderjährige</w:t>
      </w:r>
    </w:p>
    <w:p>
      <w:pPr>
        <w:jc w:val="left"/>
      </w:pPr>
      <w:r>
        <w:t>Bei Minderjährigen und Schutzbefohlenen weicht der BGH von der strengen</w:t>
      </w:r>
    </w:p>
    <w:p>
      <w:pPr>
        <w:jc w:val="left"/>
      </w:pPr>
      <w:r>
        <w:t>Leistungskettentheorie ab (Paragraf 818 Abs. 3 BGB Schutz des Minderjährigen,</w:t>
      </w:r>
    </w:p>
    <w:p>
      <w:pPr>
        <w:jc w:val="left"/>
      </w:pPr>
      <w:r>
        <w:t>keine Versagung des Schutzes durch Saldotheorie — BGH NJW 1996, 2652).</w:t>
      </w:r>
    </w:p>
    <w:p>
      <w:pPr>
        <w:pStyle w:val="Heading3"/>
      </w:pPr>
      <w:r>
        <w:rPr>
          <w:rFonts w:ascii="Times New Roman" w:hAnsi="Times New Roman"/>
        </w:rPr>
        <w:t>3.3 Insolvenz eines Beteiligten</w:t>
      </w:r>
    </w:p>
    <w:p>
      <w:pPr>
        <w:jc w:val="left"/>
      </w:pPr>
      <w:r>
        <w:t>Bei Insolvenz eines Kettenteils kann die strikte Abwicklung in der Kette</w:t>
      </w:r>
    </w:p>
    <w:p>
      <w:pPr>
        <w:jc w:val="left"/>
      </w:pPr>
      <w:r>
        <w:t>zu Nachteilen führen. BGH erlaubt in diesen Fällen u.U. Direktkondiktion</w:t>
      </w:r>
    </w:p>
    <w:p>
      <w:pPr>
        <w:jc w:val="left"/>
      </w:pPr>
      <w:r>
        <w:t>(BGH NJW 2001, 1937, 1939 — str.).</w:t>
      </w:r>
    </w:p>
    <w:p/>
    <w:p>
      <w:pPr>
        <w:pStyle w:val="Heading2"/>
      </w:pPr>
      <w:r>
        <w:rPr>
          <w:rFonts w:ascii="Times New Roman" w:hAnsi="Times New Roman"/>
        </w:rPr>
        <w:t>4. Anwendung auf die Bischof-Hellberg-Akte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Dreieck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Anweiser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Mittler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Fehler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BGH-Lösung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Schmiedeknecht-Fall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Bischof-Hellberg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Volksbank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Schmiedeknecht-KG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Anweisung nichtig (Paragraf 119 BGB)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 → Schmiedeknecht; Bischof → Bank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Trappenfels-Fall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(kein klassisches Dreieck)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Bischof-Hellberg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Trappenfels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Doppelverkauf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Leistungskondiktion Bagheri → Bischof</w:t>
            </w:r>
          </w:p>
        </w:tc>
      </w:tr>
    </w:tbl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BGHZ 40, 272 = NJW 1964, 399 (Grundlegend): https://openjur.de</w:t>
      </w:r>
    </w:p>
    <w:p>
      <w:pPr>
        <w:pStyle w:val="ListBullet"/>
      </w:pPr>
      <w:r>
        <w:t>BGHZ 147, 145 = NJW 2001, 1937 (Direktkondiktion bei Insolvenz): https://openjur.de</w:t>
      </w:r>
    </w:p>
    <w:p>
      <w:pPr>
        <w:pStyle w:val="ListBullet"/>
      </w:pPr>
      <w:r>
        <w:t>BGH NJW 2008, 1369 (Dreieck): https://bundesgerichtshof.de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