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AnfG-Klage gegen Helena Bischof-Renkert — Prozessuale Fragen</w:t>
      </w:r>
    </w:p>
    <w:p>
      <w:pPr>
        <w:jc w:val="left"/>
      </w:pPr>
      <w:r>
        <w:rPr>
          <w:b/>
        </w:rPr>
        <w:t>Aktenzeichen:</w:t>
      </w:r>
      <w:r>
        <w:t xml:space="preserve"> LG Bonn 4 O 188/26</w:t>
      </w:r>
    </w:p>
    <w:p>
      <w:pPr>
        <w:jc w:val="left"/>
      </w:pPr>
      <w:r>
        <w:rPr>
          <w:b/>
        </w:rPr>
        <w:t>Kläger:</w:t>
      </w:r>
      <w:r>
        <w:t xml:space="preserve"> Trappenfels-Erbenkonsortium (RA Kuno Rethwisch-Möller)</w:t>
      </w:r>
    </w:p>
    <w:p>
      <w:pPr>
        <w:jc w:val="left"/>
      </w:pPr>
      <w:r>
        <w:rPr>
          <w:b/>
        </w:rPr>
        <w:t>Beklagte:</w:t>
      </w:r>
      <w:r>
        <w:t xml:space="preserve"> Helena Bischof-Renkert, Zahnärztin Bonn</w:t>
      </w:r>
    </w:p>
    <w:p/>
    <w:p>
      <w:pPr>
        <w:pStyle w:val="Heading2"/>
      </w:pPr>
      <w:r>
        <w:rPr>
          <w:rFonts w:ascii="Times New Roman" w:hAnsi="Times New Roman"/>
        </w:rPr>
        <w:t>1. Anfechtungsklage nach AnfG (§ 13 AnfG)</w:t>
      </w:r>
    </w:p>
    <w:p>
      <w:pPr>
        <w:pStyle w:val="Heading3"/>
      </w:pPr>
      <w:r>
        <w:rPr>
          <w:rFonts w:ascii="Times New Roman" w:hAnsi="Times New Roman"/>
        </w:rPr>
        <w:t>1.1 Klageart</w:t>
      </w:r>
    </w:p>
    <w:p>
      <w:pPr>
        <w:jc w:val="left"/>
      </w:pPr>
      <w:r>
        <w:t>Die Anfechtungsklage nach dem AnfG ist eine **Gestaltungsklage kombiniert mit</w:t>
      </w:r>
    </w:p>
    <w:p>
      <w:pPr>
        <w:jc w:val="left"/>
      </w:pPr>
      <w:r>
        <w:t>Leistungsklage**. Der Gläubiger klagt auf Duldung der Zwangsvollstreckung</w:t>
      </w:r>
    </w:p>
    <w:p>
      <w:pPr>
        <w:jc w:val="left"/>
      </w:pPr>
      <w:r>
        <w:t>in die anfechtbar übertragenen Gegenstände (Paragraf 11 AnfG).</w:t>
      </w:r>
    </w:p>
    <w:p>
      <w:pPr>
        <w:jc w:val="left"/>
      </w:pPr>
      <w:r>
        <w:rPr>
          <w:b/>
        </w:rPr>
        <w:t>Klageantrag (Paragraf 13 AnfG i.V.m. Paragraf 11 Abs. 1 AnfG):</w:t>
      </w:r>
    </w:p>
    <w:p>
      <w:pPr>
        <w:jc w:val="left"/>
      </w:pPr>
      <w:r>
        <w:t>Die Beklagte (Helena Bischof-Renkert) wird verurteilt, die Zwangsvollstreckung</w:t>
      </w:r>
    </w:p>
    <w:p>
      <w:pPr>
        <w:jc w:val="left"/>
      </w:pPr>
      <w:r>
        <w:t>der Kläger in die nachfolgend bezeichneten Fahrzeuge zu dulden:</w:t>
      </w:r>
    </w:p>
    <w:p>
      <w:pPr>
        <w:pStyle w:val="ListNumber"/>
      </w:pPr>
      <w:r>
        <w:t>Porsche 356 B Coupé, Bj. 1962 (Kfz-Kennzeichen BN-HR-2024/1)</w:t>
      </w:r>
    </w:p>
    <w:p>
      <w:pPr>
        <w:pStyle w:val="ListNumber"/>
      </w:pPr>
      <w:r>
        <w:t>Ferrari 250 GT Berlinetta, Bj. 1961 (Kfz-Kennzeichen BN-HR-2024/2)</w:t>
      </w:r>
    </w:p>
    <w:p>
      <w:pPr>
        <w:pStyle w:val="ListNumber"/>
      </w:pPr>
      <w:r>
        <w:t>Alfa Romeo Giulietta Sprint, Bj. 1957 (Kfz-Kennzeichen BN-HR-2024/3)</w:t>
      </w:r>
    </w:p>
    <w:p>
      <w:pPr>
        <w:pStyle w:val="ListNumber"/>
      </w:pPr>
      <w:r>
        <w:t>Jaguar E-Type Serie 1, Bj. 1963 (Kfz-Kennzeichen BN-HR-2024/4)</w:t>
      </w:r>
    </w:p>
    <w:p>
      <w:pPr>
        <w:pStyle w:val="ListNumber"/>
      </w:pPr>
      <w:r>
        <w:t>BMW 507 Roadster, Bj. 1958 (Kfz-Kennzeichen BN-HR-2024/5)</w:t>
      </w:r>
    </w:p>
    <w:p>
      <w:pPr>
        <w:pStyle w:val="ListNumber"/>
      </w:pPr>
      <w:r>
        <w:t>Lancia Aurelia B24 Spider, Bj. 1955 (Kfz-Kennzeichen BN-HR-2024/6)</w:t>
      </w:r>
    </w:p>
    <w:p>
      <w:pPr>
        <w:pStyle w:val="Heading3"/>
      </w:pPr>
      <w:r>
        <w:rPr>
          <w:rFonts w:ascii="Times New Roman" w:hAnsi="Times New Roman"/>
        </w:rPr>
        <w:t>1.2 Hilfsantrag: Wertersatz</w:t>
      </w:r>
    </w:p>
    <w:p>
      <w:pPr>
        <w:jc w:val="left"/>
      </w:pPr>
      <w:r>
        <w:t>Sofern einzelne Fahrzeuge veräußert wurden:</w:t>
      </w:r>
    </w:p>
    <w:p>
      <w:pPr>
        <w:jc w:val="left"/>
      </w:pPr>
      <w:r>
        <w:t>Die Beklagte wird verurteilt, an die Kläger [Wert der veräußerten Fahrzeuge]</w:t>
      </w:r>
    </w:p>
    <w:p>
      <w:pPr>
        <w:jc w:val="left"/>
      </w:pPr>
      <w:r>
        <w:t>zu zahlen (Paragraf 11 Abs. 2 AnfG).</w:t>
      </w:r>
    </w:p>
    <w:p/>
    <w:p>
      <w:pPr>
        <w:pStyle w:val="Heading2"/>
      </w:pPr>
      <w:r>
        <w:rPr>
          <w:rFonts w:ascii="Times New Roman" w:hAnsi="Times New Roman"/>
        </w:rPr>
        <w:t>2. Zuständigkeit</w:t>
      </w:r>
    </w:p>
    <w:p>
      <w:pPr>
        <w:jc w:val="left"/>
      </w:pPr>
      <w:r>
        <w:rPr>
          <w:b/>
        </w:rPr>
        <w:t>Sachliche Zuständigkeit:</w:t>
      </w:r>
      <w:r>
        <w:t xml:space="preserve"> LG Bonn (Streitwert 3.095.000 EUR &gt; 5.000 EUR)</w:t>
      </w:r>
    </w:p>
    <w:p>
      <w:pPr>
        <w:jc w:val="left"/>
      </w:pPr>
      <w:r>
        <w:rPr>
          <w:b/>
        </w:rPr>
        <w:t>Örtliche Zuständigkeit:</w:t>
      </w:r>
      <w:r>
        <w:t xml:space="preserve"> Bonn (allgemeiner Gerichtsstand der Beklagten,</w:t>
      </w:r>
    </w:p>
    <w:p>
      <w:pPr>
        <w:jc w:val="left"/>
      </w:pPr>
      <w:r>
        <w:t>Paragraf 13 ZPO; zudem Belegenheitsort der Fahrzeuge, Paragraf 24 ZPO)</w:t>
      </w:r>
    </w:p>
    <w:p/>
    <w:p>
      <w:pPr>
        <w:pStyle w:val="Heading2"/>
      </w:pPr>
      <w:r>
        <w:rPr>
          <w:rFonts w:ascii="Times New Roman" w:hAnsi="Times New Roman"/>
        </w:rPr>
        <w:t>3. Klagevoraussetzungen AnfG</w:t>
      </w:r>
    </w:p>
    <w:p>
      <w:pPr>
        <w:jc w:val="left"/>
      </w:pPr>
      <w:r>
        <w:rPr>
          <w:b/>
        </w:rPr>
        <w:t>Paragraf 2 AnfG:</w:t>
      </w:r>
      <w:r>
        <w:t xml:space="preserve"> Die Anfechtung ist nur zulässig, wenn:</w:t>
      </w:r>
    </w:p>
    <w:p>
      <w:pPr>
        <w:pStyle w:val="ListNumber"/>
      </w:pPr>
      <w:r>
        <w:t>Der Gläubiger einen vollstreckbaren Schuldtitel hat oder einen</w:t>
      </w:r>
    </w:p>
    <w:p>
      <w:pPr>
        <w:jc w:val="left"/>
      </w:pPr>
      <w:r>
        <w:t>Schuldtitel erlangen kann</w:t>
      </w:r>
    </w:p>
    <w:p>
      <w:pPr>
        <w:pStyle w:val="ListNumber"/>
      </w:pPr>
      <w:r>
        <w:t>Die Zwangsvollstreckung in das Vermögen des Schuldners (Bischof-Hellberg)</w:t>
      </w:r>
    </w:p>
    <w:p>
      <w:pPr>
        <w:jc w:val="left"/>
      </w:pPr>
      <w:r>
        <w:t>nicht zur Befriedigung geführt hat oder voraussichtlich nicht führen wird</w:t>
      </w:r>
    </w:p>
    <w:p>
      <w:pPr>
        <w:jc w:val="left"/>
      </w:pPr>
      <w:r>
        <w:rPr>
          <w:b/>
        </w:rPr>
        <w:t>Status:</w:t>
      </w:r>
    </w:p>
    <w:p>
      <w:pPr>
        <w:pStyle w:val="ListBullet"/>
      </w:pPr>
      <w:r>
        <w:t>Vollstreckbarer Titel gegen Bischof-Hellberg: noch nicht vorhanden</w:t>
      </w:r>
    </w:p>
    <w:p>
      <w:pPr>
        <w:jc w:val="left"/>
      </w:pPr>
      <w:r>
        <w:t>(LG Bonn 16 O 211/26 noch anhängig)</w:t>
      </w:r>
    </w:p>
    <w:p>
      <w:pPr>
        <w:pStyle w:val="ListBullet"/>
      </w:pPr>
      <w:r>
        <w:t>Voraussichtliche Nichtbefriedigung: Bischof-Hellberg hat sichtbares Vermögen</w:t>
      </w:r>
    </w:p>
    <w:p>
      <w:pPr>
        <w:jc w:val="left"/>
      </w:pPr>
      <w:r>
        <w:t>(Schloss, weitere Objekte) — Nachweis der Fruchtlosigkeit noch erforderlich</w:t>
      </w:r>
    </w:p>
    <w:p>
      <w:pPr>
        <w:pStyle w:val="ListBullet"/>
      </w:pPr>
      <w:r>
        <w:rPr>
          <w:b/>
        </w:rPr>
        <w:t>Problem:</w:t>
      </w:r>
      <w:r>
        <w:t xml:space="preserve"> Die Klage wurde eingereicht, bevor ein Vollstreckungstitel vorliegt.</w:t>
      </w:r>
    </w:p>
    <w:p>
      <w:pPr>
        <w:jc w:val="left"/>
      </w:pPr>
      <w:r>
        <w:t>Zulässigkeit nach Paragraf 2 AnfG fraglich — grds. muss Titel zuerst bestehen.</w:t>
      </w:r>
    </w:p>
    <w:p/>
    <w:p>
      <w:pPr>
        <w:pStyle w:val="Heading2"/>
      </w:pPr>
      <w:r>
        <w:rPr>
          <w:rFonts w:ascii="Times New Roman" w:hAnsi="Times New Roman"/>
        </w:rPr>
        <w:t>4. Verteidigungsstrategie Helena Bischof-Renkert</w:t>
      </w:r>
    </w:p>
    <w:p>
      <w:pPr>
        <w:jc w:val="left"/>
      </w:pPr>
      <w:r>
        <w:rPr>
          <w:b/>
        </w:rPr>
        <w:t>a) Bestreitung des Benachteiligungsvorsatzes:</w:t>
      </w:r>
    </w:p>
    <w:p>
      <w:pPr>
        <w:jc w:val="left"/>
      </w:pPr>
      <w:r>
        <w:t>Die Übertragung erfolgte im Januar 2024, als noch kein Streit mit Trappenfels</w:t>
      </w:r>
    </w:p>
    <w:p>
      <w:pPr>
        <w:jc w:val="left"/>
      </w:pPr>
      <w:r>
        <w:t>bestand (Kaufvertrag Trappenfels erst März 2025). Helena kannte den</w:t>
      </w:r>
    </w:p>
    <w:p>
      <w:pPr>
        <w:jc w:val="left"/>
      </w:pPr>
      <w:r>
        <w:t>Schuldnerplan nicht.</w:t>
      </w:r>
    </w:p>
    <w:p>
      <w:pPr>
        <w:jc w:val="left"/>
      </w:pPr>
      <w:r>
        <w:rPr>
          <w:b/>
        </w:rPr>
        <w:t>b) Paragraf 4 AnfG — Gegenleistung:</w:t>
      </w:r>
    </w:p>
    <w:p>
      <w:pPr>
        <w:jc w:val="left"/>
      </w:pPr>
      <w:r>
        <w:t>Helena Bischof-Renkert erbringt für die Fahrzeuge Pflegeleistungen</w:t>
      </w:r>
    </w:p>
    <w:p>
      <w:pPr>
        <w:jc w:val="left"/>
      </w:pPr>
      <w:r>
        <w:t>an ihren Vater (regelmäßige Betreuung, Arztbegleitung). Dies könnte</w:t>
      </w:r>
    </w:p>
    <w:p>
      <w:pPr>
        <w:jc w:val="left"/>
      </w:pPr>
      <w:r>
        <w:t>als Gegenleistung i.S. einer gemischten Schenkung gewertet werden.</w:t>
      </w:r>
    </w:p>
    <w:p>
      <w:pPr>
        <w:jc w:val="left"/>
      </w:pPr>
      <w:r>
        <w:rPr>
          <w:b/>
        </w:rPr>
        <w:t>c) Entreicherung (Paragraf 11 Abs. 2 AnfG):</w:t>
      </w:r>
    </w:p>
    <w:p>
      <w:pPr>
        <w:jc w:val="left"/>
      </w:pPr>
      <w:r>
        <w:t>Sofern Fahrzeuge veräußert und der Erlös für notwendige Aufwendungen verwendet,</w:t>
      </w:r>
    </w:p>
    <w:p>
      <w:pPr>
        <w:jc w:val="left"/>
      </w:pPr>
      <w:r>
        <w:t>ist die Haftung auf das noch Vorhandene begrenzt.</w:t>
      </w:r>
    </w:p>
    <w:p/>
    <w:p>
      <w:pPr>
        <w:pStyle w:val="Heading2"/>
      </w:pPr>
      <w:r>
        <w:rPr>
          <w:rFonts w:ascii="Times New Roman" w:hAnsi="Times New Roman"/>
        </w:rPr>
        <w:t>5. Prozesstaktische Empfehlung</w:t>
      </w:r>
    </w:p>
    <w:p>
      <w:pPr>
        <w:jc w:val="left"/>
      </w:pPr>
      <w:r>
        <w:t>Die Kanzlei Spethmann, Kaltenbach &amp; Partner empfiehlt für Dr. Bischof-Hellberg</w:t>
      </w:r>
    </w:p>
    <w:p>
      <w:pPr>
        <w:jc w:val="left"/>
      </w:pPr>
      <w:r>
        <w:t>(inzident Betroffener):</w:t>
      </w:r>
    </w:p>
    <w:p>
      <w:pPr>
        <w:pStyle w:val="ListNumber"/>
      </w:pPr>
      <w:r>
        <w:t>Widerspruch zur Anfechtungsklage gegen Helena — Klagevoraussetzungen</w:t>
      </w:r>
    </w:p>
    <w:p>
      <w:pPr>
        <w:jc w:val="left"/>
      </w:pPr>
      <w:r>
        <w:t>nach Paragraf 2 AnfG noch nicht erfüllt (kein Vollstreckungstitel)</w:t>
      </w:r>
    </w:p>
    <w:p>
      <w:pPr>
        <w:pStyle w:val="ListNumber"/>
      </w:pPr>
      <w:r>
        <w:t>Parallel: Nachweis echter Gegenleistungen der Helena (Betreuungsleistungen)</w:t>
      </w:r>
    </w:p>
    <w:p>
      <w:pPr>
        <w:pStyle w:val="ListNumber"/>
      </w:pPr>
      <w:r>
        <w:t>Gutachten zur Wertermittlung der sechs Fahrzeuge zum Übertragungszeitpunkt</w:t>
      </w:r>
    </w:p>
    <w:p>
      <w:pPr>
        <w:jc w:val="left"/>
      </w:pPr>
      <w:r>
        <w:t>(Januar 2024) einholen — evtl. anderer Wert als angenommen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2 AnfG: https://dejure.org/gesetze/AnfG/2.html</w:t>
      </w:r>
    </w:p>
    <w:p>
      <w:pPr>
        <w:pStyle w:val="ListBullet"/>
      </w:pPr>
      <w:r>
        <w:t>Paragraf 11 AnfG: https://dejure.org/gesetze/AnfG/11.html</w:t>
      </w:r>
    </w:p>
    <w:p>
      <w:pPr>
        <w:pStyle w:val="ListBullet"/>
      </w:pPr>
      <w:r>
        <w:t>Paragraf 13 AnfG: https://dejure.org/gesetze/AnfG/13.html</w:t>
      </w:r>
    </w:p>
    <w:p>
      <w:pPr>
        <w:pStyle w:val="ListBullet"/>
      </w:pPr>
      <w:r>
        <w:t>BGH NJW 2012, 2099 (AnfG Voraussetzungen): https://bundesgerichtshof.de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