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Anspruchskonkurrenz — Parallele Ansprüche im Überblick</w:t>
      </w:r>
    </w:p>
    <w:p>
      <w:pPr>
        <w:jc w:val="left"/>
      </w:pPr>
      <w:r>
        <w:rPr>
          <w:b/>
        </w:rPr>
        <w:t>Aktenzeichen:</w:t>
      </w:r>
      <w:r>
        <w:t xml:space="preserve"> LG Bonn 16 O 211/26, AG Hamburg 67 IN 88/26, LG Bonn 4 O 188/26</w:t>
      </w:r>
    </w:p>
    <w:p>
      <w:pPr>
        <w:jc w:val="left"/>
      </w:pPr>
      <w:r>
        <w:rPr>
          <w:b/>
        </w:rPr>
        <w:t>Rechtsfrage:</w:t>
      </w:r>
      <w:r>
        <w:t xml:space="preserve"> Systematische Darstellung aller parallel bestehenden Ansprüche</w:t>
      </w:r>
    </w:p>
    <w:p/>
    <w:p>
      <w:pPr>
        <w:pStyle w:val="Heading2"/>
      </w:pPr>
      <w:r>
        <w:rPr>
          <w:rFonts w:ascii="Times New Roman" w:hAnsi="Times New Roman"/>
        </w:rPr>
        <w:t>1. Gesamtkarte der Ansprüche</w:t>
      </w:r>
    </w:p>
    <w:p>
      <w:pPr>
        <w:jc w:val="left"/>
      </w:pPr>
      <w:r>
        <w:t>```</w:t>
      </w:r>
    </w:p>
    <w:p>
      <w:pPr>
        <w:jc w:val="left"/>
      </w:pPr>
      <w:r>
        <w:t>DR. REINHART BISCHOF-HELLBERG (Schuldner/Beklagter in mehreren Verfahren)</w:t>
      </w:r>
    </w:p>
    <w:p>
      <w:pPr>
        <w:jc w:val="left"/>
      </w:pPr>
      <w:r>
        <w:t>│</w:t>
      </w:r>
    </w:p>
    <w:p>
      <w:pPr>
        <w:jc w:val="left"/>
      </w:pPr>
      <w:r>
        <w:t>├─── Schuldet Bagheri-Aichholz:</w:t>
      </w:r>
    </w:p>
    <w:p>
      <w:pPr>
        <w:jc w:val="left"/>
      </w:pPr>
      <w:r>
        <w:t>│    ├── Paragraf 326 Abs. 4 / 346 BGB: Rückzahlung 600.000 EUR Anzahlung</w:t>
      </w:r>
    </w:p>
    <w:p>
      <w:pPr>
        <w:jc w:val="left"/>
      </w:pPr>
      <w:r>
        <w:t>│    ├── Paragraf 812 Abs. 1 S. 1 BGB: Kondiktion 600.000 EUR</w:t>
      </w:r>
    </w:p>
    <w:p>
      <w:pPr>
        <w:jc w:val="left"/>
      </w:pPr>
      <w:r>
        <w:t>│    └── Paragraf 280, 283 BGB: Schadensersatz (Höhe offen)</w:t>
      </w:r>
    </w:p>
    <w:p>
      <w:pPr>
        <w:jc w:val="left"/>
      </w:pPr>
      <w:r>
        <w:t>│</w:t>
      </w:r>
    </w:p>
    <w:p>
      <w:pPr>
        <w:jc w:val="left"/>
      </w:pPr>
      <w:r>
        <w:t>├─── Schuldet Insolvenzmasse Trappenfels (sofern Anfechtung erfolgreich):</w:t>
      </w:r>
    </w:p>
    <w:p>
      <w:pPr>
        <w:jc w:val="left"/>
      </w:pPr>
      <w:r>
        <w:t>│    ├── Paragraf 143 Abs. 1 InsO: Wertersatz 1.800.000 EUR</w:t>
      </w:r>
    </w:p>
    <w:p>
      <w:pPr>
        <w:jc w:val="left"/>
      </w:pPr>
      <w:r>
        <w:t>│    └── Abzüglich: Rückforderung Kaufpreis 1.050.000 EUR</w:t>
      </w:r>
    </w:p>
    <w:p>
      <w:pPr>
        <w:jc w:val="left"/>
      </w:pPr>
      <w:r>
        <w:t>│         = Netto: 750.000 EUR</w:t>
      </w:r>
    </w:p>
    <w:p>
      <w:pPr>
        <w:jc w:val="left"/>
      </w:pPr>
      <w:r>
        <w:t>│</w:t>
      </w:r>
    </w:p>
    <w:p>
      <w:pPr>
        <w:jc w:val="left"/>
      </w:pPr>
      <w:r>
        <w:t>├─── Schuldet Volksbank Bonn (sofern Anweisung nichtig):</w:t>
      </w:r>
    </w:p>
    <w:p>
      <w:pPr>
        <w:jc w:val="left"/>
      </w:pPr>
      <w:r>
        <w:t>│    └── Paragraf 675u BGB: Bereicherung durch unberechtigte Belastung</w:t>
      </w:r>
    </w:p>
    <w:p>
      <w:pPr>
        <w:jc w:val="left"/>
      </w:pPr>
      <w:r>
        <w:t>│</w:t>
      </w:r>
    </w:p>
    <w:p>
      <w:pPr>
        <w:jc w:val="left"/>
      </w:pPr>
      <w:r>
        <w:t>└─── Verursacht Anfechtungslage:</w:t>
      </w:r>
    </w:p>
    <w:p>
      <w:pPr>
        <w:jc w:val="left"/>
      </w:pPr>
      <w:r>
        <w:t>└── Übertragung 6 Fahrzeuge → AnfG-Anfechtung → Helena schuldet Duldung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2. Ansprüche und Prioritäten</w:t>
      </w:r>
    </w:p>
    <w:p>
      <w:pPr>
        <w:pStyle w:val="Heading3"/>
      </w:pPr>
      <w:r>
        <w:rPr>
          <w:rFonts w:ascii="Times New Roman" w:hAnsi="Times New Roman"/>
        </w:rPr>
        <w:t>2.1 Bagheri-Aichholz (Priorität 1 — einfacher Gläubiger)</w:t>
      </w:r>
    </w:p>
    <w:p>
      <w:pPr>
        <w:jc w:val="left"/>
      </w:pPr>
      <w:r>
        <w:t>Bagheri-Aichholz hat keinen gesicherten Anspruch (keine Grundschuld, kein</w:t>
      </w:r>
    </w:p>
    <w:p>
      <w:pPr>
        <w:jc w:val="left"/>
      </w:pPr>
      <w:r>
        <w:t>Pfandrecht). Sie ist einfacher Gläubiger.</w:t>
      </w:r>
    </w:p>
    <w:p>
      <w:pPr>
        <w:jc w:val="left"/>
      </w:pPr>
      <w:r>
        <w:rPr>
          <w:b/>
        </w:rPr>
        <w:t>Durchsetzbarkeit:</w:t>
      </w:r>
      <w:r>
        <w:t xml:space="preserve"> Klage beim LG Bonn (16 O 211/26) — Erfolgsaussichten gut,</w:t>
      </w:r>
    </w:p>
    <w:p>
      <w:pPr>
        <w:jc w:val="left"/>
      </w:pPr>
      <w:r>
        <w:t>da Anspruch klar begründet und Gegner (Bischof-Hellberg) vermögend.</w:t>
      </w:r>
    </w:p>
    <w:p>
      <w:pPr>
        <w:pStyle w:val="Heading3"/>
      </w:pPr>
      <w:r>
        <w:rPr>
          <w:rFonts w:ascii="Times New Roman" w:hAnsi="Times New Roman"/>
        </w:rPr>
        <w:t>2.2 Insolvenzmasse Trappenfels (Priorität 2 — Insolvenzanfechtung)</w:t>
      </w:r>
    </w:p>
    <w:p>
      <w:pPr>
        <w:jc w:val="left"/>
      </w:pPr>
      <w:r>
        <w:t>Anfechtungsansprüche haben nach Paragraf 143 InsO keine Vorrangsstellung;</w:t>
      </w:r>
    </w:p>
    <w:p>
      <w:pPr>
        <w:jc w:val="left"/>
      </w:pPr>
      <w:r>
        <w:t>Bischof-Hellberg schuldet den Anfechtungsbetrag direkt an die Insolvenzmasse.</w:t>
      </w:r>
    </w:p>
    <w:p>
      <w:pPr>
        <w:jc w:val="left"/>
      </w:pPr>
      <w:r>
        <w:rPr>
          <w:b/>
        </w:rPr>
        <w:t>Durchsetzbarkeit:</w:t>
      </w:r>
      <w:r>
        <w:t xml:space="preserve"> Schwierig — Anfechtungstatbestand (Paragraf 133 InsO)</w:t>
      </w:r>
    </w:p>
    <w:p>
      <w:pPr>
        <w:jc w:val="left"/>
      </w:pPr>
      <w:r>
        <w:t>nach derzeitigem Sachstand nicht erfüllt (kein nachweisbarer Benachteiligungsvorsatz).</w:t>
      </w:r>
    </w:p>
    <w:p>
      <w:pPr>
        <w:pStyle w:val="Heading3"/>
      </w:pPr>
      <w:r>
        <w:rPr>
          <w:rFonts w:ascii="Times New Roman" w:hAnsi="Times New Roman"/>
        </w:rPr>
        <w:t>2.3 Volksbank Bonn (Dreieckskonstellation)</w:t>
      </w:r>
    </w:p>
    <w:p>
      <w:pPr>
        <w:jc w:val="left"/>
      </w:pPr>
      <w:r>
        <w:rPr>
          <w:b/>
        </w:rPr>
        <w:t>Durchsetzbarkeit:</w:t>
      </w:r>
      <w:r>
        <w:t xml:space="preserve"> Volksbank Bonn hat Anspruch gegen Schmiedeknecht-KG;</w:t>
      </w:r>
    </w:p>
    <w:p>
      <w:pPr>
        <w:jc w:val="left"/>
      </w:pPr>
      <w:r>
        <w:t>Bischof-Hellberg hat Anspruch gegen Volksbank.</w:t>
      </w:r>
    </w:p>
    <w:p/>
    <w:p>
      <w:pPr>
        <w:pStyle w:val="Heading2"/>
      </w:pPr>
      <w:r>
        <w:rPr>
          <w:rFonts w:ascii="Times New Roman" w:hAnsi="Times New Roman"/>
        </w:rPr>
        <w:t>3. Insolvenzforderungen vs. Masseforderungen</w:t>
      </w:r>
    </w:p>
    <w:p>
      <w:pPr>
        <w:jc w:val="left"/>
      </w:pPr>
      <w:r>
        <w:t>Im Insolvenzverfahren Trappenfels (AG Hamburg 67 IN 88/26) sind folgende</w:t>
      </w:r>
    </w:p>
    <w:p>
      <w:pPr>
        <w:jc w:val="left"/>
      </w:pPr>
      <w:r>
        <w:t>Forderungen zu unterscheiden: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Einordnung InsO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Bischof-Hellberg (Restkaufpreis)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Einfache Insolvenzforderung (Paragraf 38 InsO)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Weitere Gläubiger Trappenfels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unbekannte 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Insolvenzforderungen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Masseverbindlichkeiten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Verwalterhonorar etc.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Masseforderungen (Paragraf 55 InsO)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Wirtschaftliches Gesamtbild: Haftungsmasse Bischof-Hellberg</w:t>
      </w:r>
    </w:p>
    <w:p>
      <w:pPr>
        <w:jc w:val="left"/>
      </w:pPr>
      <w:r>
        <w:rPr>
          <w:b/>
        </w:rPr>
        <w:t>Aktiva Dr. Bischof-Hellberg (geschätzt):</w:t>
      </w:r>
    </w:p>
    <w:p>
      <w:pPr>
        <w:pStyle w:val="ListBullet"/>
      </w:pPr>
      <w:r>
        <w:t>Schloss Bischof-Hellberg, Bonn: ca. 4.500.000 EUR</w:t>
      </w:r>
    </w:p>
    <w:p>
      <w:pPr>
        <w:pStyle w:val="ListBullet"/>
      </w:pPr>
      <w:r>
        <w:t>Liquide Mittel (nach Kaufpreiseinnahmen): ca. 1.050.000 EUR</w:t>
      </w:r>
    </w:p>
    <w:p>
      <w:pPr>
        <w:pStyle w:val="ListBullet"/>
      </w:pPr>
      <w:r>
        <w:t>Versicherungsansprüche (ggf.): Prüfung</w:t>
      </w:r>
    </w:p>
    <w:p>
      <w:pPr>
        <w:pStyle w:val="ListBullet"/>
      </w:pPr>
      <w:r>
        <w:t>Sonstige Immobilien: unbekannt</w:t>
      </w:r>
    </w:p>
    <w:p>
      <w:pPr>
        <w:jc w:val="left"/>
      </w:pPr>
      <w:r>
        <w:rPr>
          <w:b/>
        </w:rPr>
        <w:t>Passiva / drohende Verbindlichkeiten:</w:t>
      </w:r>
    </w:p>
    <w:p>
      <w:pPr>
        <w:pStyle w:val="ListBullet"/>
      </w:pPr>
      <w:r>
        <w:t>Rückzahlungsanspruch Bagheri-Aichholz: 600.000 EUR + Zinsen</w:t>
      </w:r>
    </w:p>
    <w:p>
      <w:pPr>
        <w:pStyle w:val="ListBullet"/>
      </w:pPr>
      <w:r>
        <w:t>Anfechtungsanspruch InsO (strittig): bis 750.000 EUR</w:t>
      </w:r>
    </w:p>
    <w:p>
      <w:pPr>
        <w:pStyle w:val="ListBullet"/>
      </w:pPr>
      <w:r>
        <w:t>Schadensersatzanspruch Bagheri-Aichholz: unklar</w:t>
      </w:r>
    </w:p>
    <w:p>
      <w:pPr>
        <w:pStyle w:val="ListBullet"/>
      </w:pPr>
      <w:r>
        <w:t>Vertrauensschaden Schmiedeknecht-KG (Paragraf 122 BGB): bis 78.000 EUR</w:t>
      </w:r>
    </w:p>
    <w:p>
      <w:pPr>
        <w:jc w:val="left"/>
      </w:pPr>
      <w:r>
        <w:rPr>
          <w:b/>
        </w:rPr>
        <w:t>Gesamtverbindlichkeit (Maximum):</w:t>
      </w:r>
      <w:r>
        <w:t xml:space="preserve"> ca. 1.428.000 EUR</w:t>
      </w:r>
    </w:p>
    <w:p>
      <w:pPr>
        <w:jc w:val="left"/>
      </w:pPr>
      <w:r>
        <w:rPr>
          <w:b/>
        </w:rPr>
        <w:t>Gesamtaktiva:</w:t>
      </w:r>
      <w:r>
        <w:t xml:space="preserve"> deutlich &gt; 5.000.000 EUR</w:t>
      </w:r>
    </w:p>
    <w:p>
      <w:pPr>
        <w:jc w:val="left"/>
      </w:pPr>
      <w:r>
        <w:rPr>
          <w:b/>
        </w:rPr>
        <w:t>Bewertung:</w:t>
      </w:r>
      <w:r>
        <w:t xml:space="preserve"> Bischof-Hellberg ist nicht insolvent; die Forderungen</w:t>
      </w:r>
    </w:p>
    <w:p>
      <w:pPr>
        <w:jc w:val="left"/>
      </w:pPr>
      <w:r>
        <w:t>sind theoretisch vollständig durchsetzbar.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38 InsO: https://dejure.org/gesetze/InsO/38.html</w:t>
      </w:r>
    </w:p>
    <w:p>
      <w:pPr>
        <w:pStyle w:val="ListBullet"/>
      </w:pPr>
      <w:r>
        <w:t>Paragraf 55 InsO: https://dejure.org/gesetze/InsO/55.html</w:t>
      </w:r>
    </w:p>
    <w:p>
      <w:pPr>
        <w:pStyle w:val="ListBullet"/>
      </w:pPr>
      <w:r>
        <w:t>Paragraf 143 InsO: https://dejure.org/gesetze/InsO/143.html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