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Mandatsnotiz Berufskrankheit</w:t>
      </w:r>
    </w:p>
    <w:p>
      <w:pPr>
        <w:pStyle w:val="Heading2"/>
      </w:pPr>
      <w:r>
        <w:rPr>
          <w:rFonts w:ascii="Times New Roman" w:hAnsi="Times New Roman"/>
        </w:rPr>
        <w:t>1. Person</w:t>
      </w:r>
    </w:p>
    <w:p>
      <w:pPr>
        <w:jc w:val="left"/>
      </w:pPr>
      <w:r>
        <w:t>Mandant ist Dieter Harms, geboren am 06.01.1954, wohnhaft Bremen-Gröpelingen. Er arbeitete von 1971 bis 1989 als Schlosser und Instandhalter bei der Weserkrone Werft, danach bis 2014 bei einem Maschinenbauer. Seit März 2026 ist ein Lungenkarzinom diagnostiziert. Die Ehefrau Marlies Harms führt die Unterlagen, weil der Mandant nach Chemotherapie stark erschöpft ist.</w:t>
      </w:r>
    </w:p>
    <w:p>
      <w:pPr>
        <w:pStyle w:val="Heading2"/>
      </w:pPr>
      <w:r>
        <w:rPr>
          <w:rFonts w:ascii="Times New Roman" w:hAnsi="Times New Roman"/>
        </w:rPr>
        <w:t>2. Verfahren</w:t>
      </w:r>
    </w:p>
    <w:p>
      <w:pPr>
        <w:jc w:val="left"/>
      </w:pPr>
      <w:r>
        <w:t>Pneumologe Dr. Aydin stellte am 20.04.2026 eine Verdachtsanzeige auf Berufskrankheit wegen Asbestexposition. Die BG Verkehr führte einen Telefontermin und lehnte mit Bescheid vom 24.06.2026 eine Anerkennung ab: Expositionsumfang nicht ausreichend nachgewiesen, Raucheranamnese 25 Packungsjahre, keine belastbare Faserjahrberechnung.</w:t>
      </w:r>
    </w:p>
    <w:p>
      <w:pPr>
        <w:pStyle w:val="Heading2"/>
      </w:pPr>
      <w:r>
        <w:rPr>
          <w:rFonts w:ascii="Times New Roman" w:hAnsi="Times New Roman"/>
        </w:rPr>
        <w:t>3. Arbeitsauftrag</w:t>
      </w:r>
    </w:p>
    <w:p>
      <w:pPr>
        <w:jc w:val="left"/>
      </w:pPr>
      <w:r>
        <w:t>Widerspruch gegen die Ablehnung, Expositionsrecherche, Zeugenliste, Betriebsakten, damalige Baustellen, medizinische Zusammenhangsbegutachtung und Prüfung von Verletztenrente beziehungsweise Hinterbliebenenleistungen. Die rentenberaterliche Perspektive umfasst auch die Koordination mit Altersrente, Krankengeld und möglicher Erwerbsminderung.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