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Ärztliche Verdachtsanzeige, Auszug</w:t>
      </w:r>
    </w:p>
    <w:p>
      <w:pPr>
        <w:pStyle w:val="Heading2"/>
      </w:pPr>
      <w:r>
        <w:rPr>
          <w:rFonts w:ascii="Times New Roman" w:hAnsi="Times New Roman"/>
        </w:rPr>
        <w:t>1. Diagnose</w:t>
      </w:r>
    </w:p>
    <w:p>
      <w:pPr>
        <w:jc w:val="left"/>
      </w:pPr>
      <w:r>
        <w:t>Universitätsklinikum Bremen, Pneumologie, Bericht 17.04.2026: nicht-kleinzelliges Lungenkarzinom rechter Oberlappen, Stadium III B, pleurale Plaques beidseits, restriktive Ventilationsstörung leichtgradig. Histologie: Adenokarzinom. Therapievorschlag: kombinierte Radio-Chemotherapie, danach Immuntherapie je Verlauf.</w:t>
      </w:r>
    </w:p>
    <w:p>
      <w:pPr>
        <w:pStyle w:val="Heading2"/>
      </w:pPr>
      <w:r>
        <w:rPr>
          <w:rFonts w:ascii="Times New Roman" w:hAnsi="Times New Roman"/>
        </w:rPr>
        <w:t>2. Berufsanamnese</w:t>
      </w:r>
    </w:p>
    <w:p>
      <w:pPr>
        <w:jc w:val="left"/>
      </w:pPr>
      <w:r>
        <w:t>Patient berichtet Werftarbeit mit Entfernung alter Rohrisolierungen in 1970er und 1980er Jahren. Keine systematische Schutzkleidung. Der Befund pleuraler Plaques passt zu zurückliegender Asbestexposition. Raucheranamnese beendet 2004.</w:t>
      </w:r>
    </w:p>
    <w:p>
      <w:pPr>
        <w:pStyle w:val="Heading2"/>
      </w:pPr>
      <w:r>
        <w:rPr>
          <w:rFonts w:ascii="Times New Roman" w:hAnsi="Times New Roman"/>
        </w:rPr>
        <w:t>3. Anzeige</w:t>
      </w:r>
    </w:p>
    <w:p>
      <w:pPr>
        <w:jc w:val="left"/>
      </w:pPr>
      <w:r>
        <w:t>Dr. Aydin meldet Verdacht einer Berufskrankheit an die BG und bittet um arbeitstechnische Ermittlung. Er betont, dass die Raucheranamnese den Asbestzusammenhang nicht ausschließt, aber bei der Zusammenhangsbewertung berücksichtigt werden muss.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