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Ablehnungsbescheid der BG</w:t>
      </w:r>
    </w:p>
    <w:p>
      <w:pPr>
        <w:pStyle w:val="Heading2"/>
      </w:pPr>
      <w:r>
        <w:rPr>
          <w:rFonts w:ascii="Times New Roman" w:hAnsi="Times New Roman"/>
        </w:rPr>
        <w:t>1. Entscheidung</w:t>
      </w:r>
    </w:p>
    <w:p>
      <w:pPr>
        <w:jc w:val="left"/>
      </w:pPr>
      <w:r>
        <w:t>Bescheid vom 24.06.2026: Eine Berufskrankheit wird nicht anerkannt. Leistungen aus der gesetzlichen Unfallversicherung werden abgelehnt. Rechtsbehelfsfrist ein Monat.</w:t>
      </w:r>
    </w:p>
    <w:p>
      <w:pPr>
        <w:pStyle w:val="Heading2"/>
      </w:pPr>
      <w:r>
        <w:rPr>
          <w:rFonts w:ascii="Times New Roman" w:hAnsi="Times New Roman"/>
        </w:rPr>
        <w:t>2. Begründung</w:t>
      </w:r>
    </w:p>
    <w:p>
      <w:pPr>
        <w:jc w:val="left"/>
      </w:pPr>
      <w:r>
        <w:t>Die arbeitstechnischen Voraussetzungen seien nicht im Vollbeweis belegt. Der Versicherte habe keine ausreichend konkretisierten Einsatzorte und Expositionszeiten benannt. Außerdem bestehe eine relevante Nikotinbelastung. Die pleuralen Plaques belegten zwar eine Exposition, aber nicht den erforderlichen Zusammenhang mit dem Karzinom.</w:t>
      </w:r>
    </w:p>
    <w:p>
      <w:pPr>
        <w:pStyle w:val="Heading2"/>
      </w:pPr>
      <w:r>
        <w:rPr>
          <w:rFonts w:ascii="Times New Roman" w:hAnsi="Times New Roman"/>
        </w:rPr>
        <w:t>3. Angriffspunkte</w:t>
      </w:r>
    </w:p>
    <w:p>
      <w:pPr>
        <w:jc w:val="left"/>
      </w:pPr>
      <w:r>
        <w:t>Die BG entschied, bevor die Zeugenliste, das Werftarchiv und der vollständige Klinikbefund vorlagen. Die Plaques wurden nicht mit der Expositionsgeschichte verknüpft. Die Raucheranamnese wurde als Ausschlussargument verwendet, obwohl sie nur ein konkurrierender Risikofaktor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