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w:t>
      </w:r>
    </w:p>
    <w:p>
      <w:pPr>
        <w:pStyle w:val="Heading2"/>
      </w:pPr>
      <w:r>
        <w:rPr>
          <w:rFonts w:ascii="Times New Roman" w:hAnsi="Times New Roman"/>
        </w:rPr>
        <w:t>1. Antrag</w:t>
      </w:r>
    </w:p>
    <w:p>
      <w:pPr>
        <w:jc w:val="left"/>
      </w:pPr>
      <w:r>
        <w:t>Gegen den Bescheid vom 24.06.2026 wird Widerspruch eingelegt. Beantragt wird die Anerkennung der geltend gemachten Berufskrankheit und hilfsweise die erneute arbeitstechnische und medizinische Begutachtung nach vollständiger Sachverhaltsaufklärung.</w:t>
      </w:r>
    </w:p>
    <w:p>
      <w:pPr>
        <w:pStyle w:val="Heading2"/>
      </w:pPr>
      <w:r>
        <w:rPr>
          <w:rFonts w:ascii="Times New Roman" w:hAnsi="Times New Roman"/>
        </w:rPr>
        <w:t>2. Begründung</w:t>
      </w:r>
    </w:p>
    <w:p>
      <w:pPr>
        <w:jc w:val="left"/>
      </w:pPr>
      <w:r>
        <w:t>Die Ablehnung ist verfrüht. Der Versicherte hat eine langjährige Tätigkeit in asbesttypischen Werftbereichen glaubhaft konkretisiert. Die nun vorgelegte Expositionsmatrix, Zeugenliste und Klinikdiagnostik verlangen weitere Ermittlungen. Der bloße Hinweis auf eine frühere Raucheranamnese ersetzt keine Zusammenhangsbegutachtung.</w:t>
      </w:r>
    </w:p>
    <w:p>
      <w:pPr>
        <w:pStyle w:val="Heading2"/>
      </w:pPr>
      <w:r>
        <w:rPr>
          <w:rFonts w:ascii="Times New Roman" w:hAnsi="Times New Roman"/>
        </w:rPr>
        <w:t>3. Beweisanträge</w:t>
      </w:r>
    </w:p>
    <w:p>
      <w:pPr>
        <w:jc w:val="left"/>
      </w:pPr>
      <w:r>
        <w:t>Arbeitstechnisches Sachverständigengutachten, Beiziehung Betriebsarchiv Weserkrone, Vernehmung der benannten Kollegen, ergänzende pneumologische Begutachtung unter Auswertung der pleuralen Plaques und der histologischen Befunde.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