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Renten- und Hinterbliebenenfolge</w:t>
      </w:r>
    </w:p>
    <w:p>
      <w:pPr>
        <w:pStyle w:val="Heading2"/>
      </w:pPr>
      <w:r>
        <w:rPr>
          <w:rFonts w:ascii="Times New Roman" w:hAnsi="Times New Roman"/>
        </w:rPr>
        <w:t>1. Laufende Leistungen</w:t>
      </w:r>
    </w:p>
    <w:p>
      <w:pPr>
        <w:jc w:val="left"/>
      </w:pPr>
      <w:r>
        <w:t>Der Mandant bezieht Altersrente für langjährig Versicherte. Krankengeld spielt wegen Rentenbezug nur eingeschränkt eine Rolle. Bei Anerkennung können Heilbehandlung, Verletztenrente und bei Tod Hinterbliebenenleistungen aus der Unfallversicherung relevant werden.</w:t>
      </w:r>
    </w:p>
    <w:p>
      <w:pPr>
        <w:pStyle w:val="Heading2"/>
      </w:pPr>
      <w:r>
        <w:rPr>
          <w:rFonts w:ascii="Times New Roman" w:hAnsi="Times New Roman"/>
        </w:rPr>
        <w:t>2. Abstimmung mit Ehefrau</w:t>
      </w:r>
    </w:p>
    <w:p>
      <w:pPr>
        <w:jc w:val="left"/>
      </w:pPr>
      <w:r>
        <w:t>Marlies Harms braucht eine Dokumentenmappe: Rentenbescheid, Ehezeitnachweise, Bankdaten, Vollmacht, Patientenverfügung, BG-Aktenzeichen. Der Widerspruch soll auch für den Fall vorbereitet sein, dass der Mandant krankheitsbedingt nicht mehr selbst Termine wahrnehmen kann.</w:t>
      </w:r>
    </w:p>
    <w:p>
      <w:pPr>
        <w:pStyle w:val="Heading2"/>
      </w:pPr>
      <w:r>
        <w:rPr>
          <w:rFonts w:ascii="Times New Roman" w:hAnsi="Times New Roman"/>
        </w:rPr>
        <w:t>3. Taktischer Hinweis</w:t>
      </w:r>
    </w:p>
    <w:p>
      <w:pPr>
        <w:jc w:val="left"/>
      </w:pPr>
      <w:r>
        <w:t>Die medizinische Dringlichkeit darf nicht dazu führen, dass die Exposition nur allgemein behauptet wird. Der stärkste Teil der Akte ist die Kombination aus pleuralen Plaques, alter Werfttätigkeit, konkreten Schiffen und Zeugen.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