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01 Mandatsübernahme und Doppelmandat-Problematik — RA Dr. Friedhelm Rotbruch</w:t>
      </w:r>
    </w:p>
    <w:p>
      <w:pPr>
        <w:jc w:val="left"/>
      </w:pPr>
      <w:r>
        <w:rPr>
          <w:b/>
        </w:rPr>
        <w:t>Akte:</w:t>
      </w:r>
      <w:r>
        <w:t xml:space="preserve"> Berufsrecht / KI-Vertragsprüfung — Kanzlei Rotbruch, Köln</w:t>
      </w:r>
    </w:p>
    <w:p>
      <w:pPr>
        <w:jc w:val="left"/>
      </w:pPr>
      <w:r>
        <w:rPr>
          <w:b/>
        </w:rPr>
        <w:t>Aktenzeichen intern:</w:t>
      </w:r>
      <w:r>
        <w:t xml:space="preserve"> RB-2022-0147</w:t>
      </w:r>
    </w:p>
    <w:p>
      <w:pPr>
        <w:jc w:val="left"/>
      </w:pPr>
      <w:r>
        <w:rPr>
          <w:b/>
        </w:rPr>
        <w:t>Stichtag Aktenstück:</w:t>
      </w:r>
      <w:r>
        <w:t xml:space="preserve"> 15. April 2026</w:t>
      </w:r>
    </w:p>
    <w:p/>
    <w:p>
      <w:pPr>
        <w:pStyle w:val="Heading2"/>
      </w:pPr>
      <w:r>
        <w:rPr>
          <w:rFonts w:ascii="Times New Roman" w:hAnsi="Times New Roman"/>
        </w:rPr>
        <w:t>1. Mandatsübernahme Habernau</w:t>
      </w:r>
    </w:p>
    <w:p>
      <w:pPr>
        <w:jc w:val="left"/>
      </w:pPr>
      <w:r>
        <w:t>RA Dr. Friedhelm Rotbruch, Rechtsanwalt (Einzelkanzlei, Schwerpunkt Familienrecht), Breite Str. 112, 50667 Köln, übernahm am 3. März 2022 das Mandat der Mandantin Ulrike Habernau (geb. 1978) im Zusammenhang mit dem Abschluss eines Ehevertrags mit ihrem damaligen Verlobten Hans-Dieter Habernau (geb. 1973). Die Beratung erstreckte sich auf sämtliche güterrechtlichen, unterhalts- und versorgungsausgleichsrechtlichen Aspekte des geplanten Ehevertrags.</w:t>
      </w:r>
    </w:p>
    <w:p>
      <w:pPr>
        <w:jc w:val="left"/>
      </w:pPr>
      <w:r>
        <w:t>Die Mandantin suchte anwaltliche Begleitung, nachdem ihr Verlobter in einem Vorgespräch angedeutet hatte, einen ausgedehnten Ausschluss von Zugewinngemeinschaft, Versorgungsausgleich und Ehegattenunterhalt anzustreben. Frau Habernau wollte wissen, ob und wie weit ein solcher Vertrag rechtlich haltbar sei und welche Schutzpositionen ihr verblieben.</w:t>
      </w:r>
    </w:p>
    <w:p>
      <w:pPr>
        <w:pStyle w:val="Heading2"/>
      </w:pPr>
      <w:r>
        <w:rPr>
          <w:rFonts w:ascii="Times New Roman" w:hAnsi="Times New Roman"/>
        </w:rPr>
        <w:t>2. Anwaltliche Vollmacht und Interessenkollision</w:t>
      </w:r>
    </w:p>
    <w:p>
      <w:pPr>
        <w:jc w:val="left"/>
      </w:pPr>
      <w:r>
        <w:t>Dr. Rotbruch fertigte eine Vollmacht für Ulrike Habernau aus (Datum: 3. März 2022). Im Erstgespräch stellte sich heraus, dass auch Hans-Dieter Habernau zunächst angefragt hatte, ob Dr. Rotbruch nicht beide Vertragsparteien beraten könne.</w:t>
      </w:r>
    </w:p>
    <w:p>
      <w:pPr>
        <w:jc w:val="left"/>
      </w:pPr>
      <w:r>
        <w:t>Dr. Rotbruch lehnte ein Doppelmandat in der Besprechung ab. Er hielt in seiner Handakte schriftlich fest:</w:t>
      </w:r>
    </w:p>
    <w:p>
      <w:pPr>
        <w:ind w:left="567"/>
      </w:pPr>
      <w:r>
        <w:rPr>
          <w:i/>
        </w:rPr>
        <w:t>„Doppelmandat abgelehnt. H.-D. Habernau wurde an RA Falkner verwiesen. Interessenkollision bei Vertragsgestaltung evident."</w:t>
      </w:r>
    </w:p>
    <w:p>
      <w:pPr>
        <w:jc w:val="left"/>
      </w:pPr>
      <w:r>
        <w:t>Diese knappe Notiz genügte jedoch nicht den Anforderungen des § 43a Abs. 4 BRAO in Verbindung mit §§ 3, 4 BORA. Eine vollständige schriftliche Dokumentation der Konfliktprüfung — mit Angabe der geprüften Interessen, des abgewogenen Ergebnisses und einer schriftlichen Information an die Mandantin, dass ihr Verlobter ebenfalls Kontakt aufgenommen hatte — fehlt in der Akte. Die Rechtsanwaltskammer Köln hat diesen Umstand im Rügeverfahren als eigenständigen Pflichtverstoß gewertet (dazu Aktenstück 08).</w:t>
      </w:r>
    </w:p>
    <w:p>
      <w:pPr>
        <w:pStyle w:val="Heading2"/>
      </w:pPr>
      <w:r>
        <w:rPr>
          <w:rFonts w:ascii="Times New Roman" w:hAnsi="Times New Roman"/>
        </w:rPr>
        <w:t>3. Mandatsinhalt und Leistungsbeschreibung</w:t>
      </w:r>
    </w:p>
    <w:p>
      <w:pPr>
        <w:jc w:val="left"/>
      </w:pPr>
      <w:r>
        <w:t>Das Mandat umfasste ausweislich des Mandatsbriefs vom 7. März 2022:</w:t>
      </w:r>
    </w:p>
    <w:p>
      <w:pPr>
        <w:pStyle w:val="ListBullet"/>
      </w:pPr>
      <w:r>
        <w:t>Analyse des vorgelegten Ehevertragsentwurfs (erstellt von H.-D. Habernaus Anwalt RA Falkner)</w:t>
      </w:r>
    </w:p>
    <w:p>
      <w:pPr>
        <w:pStyle w:val="ListBullet"/>
      </w:pPr>
      <w:r>
        <w:t>Beratung zu Zugewinngemeinschaft (§§ 1363 ff. BGB), Versorgungsausgleich (VersAusglG), nachehelichem Unterhalt (§§ 1569 ff. BGB)</w:t>
      </w:r>
    </w:p>
    <w:p>
      <w:pPr>
        <w:pStyle w:val="ListBullet"/>
      </w:pPr>
      <w:r>
        <w:t>Verhandlungsführung bzw. Begleitung bei der notariellen Beurkundung</w:t>
      </w:r>
    </w:p>
    <w:p>
      <w:pPr>
        <w:pStyle w:val="ListBullet"/>
      </w:pPr>
      <w:r>
        <w:t>Prüfung auf sittenwidrige Gestaltungen (§ 138 BGB) gemäß der Rechtsprechung des Bundesgerichtshofs</w:t>
      </w:r>
    </w:p>
    <w:p>
      <w:pPr>
        <w:jc w:val="left"/>
      </w:pPr>
      <w:r>
        <w:t>Der vereinbarte Honorarsatz betrug 280 EUR/Stunde zzgl. USt. Das Gesamthonorar belief sich nach Abrechnung auf 3.360 EUR netto.</w:t>
      </w:r>
    </w:p>
    <w:p>
      <w:pPr>
        <w:pStyle w:val="Heading2"/>
      </w:pPr>
      <w:r>
        <w:rPr>
          <w:rFonts w:ascii="Times New Roman" w:hAnsi="Times New Roman"/>
        </w:rPr>
        <w:t>4. Einsatz von JuristAssist Pro 5</w:t>
      </w:r>
    </w:p>
    <w:p>
      <w:pPr>
        <w:jc w:val="left"/>
      </w:pPr>
      <w:r>
        <w:t>Ohne Rücksprache mit der Mandantin und ohne dies im Mandatsschreiben zu erwähnen, nutzte Dr. Rotbruch zur Erstprüfung des Ehevertragsentwurfs das KI-Tool „JuristAssist Pro 5" (Anbieter: LegalTech GmbH, Hamburg), eine cloudbasierte Anwendung zur automatisierten Vertragsprüfung. Der Betrieb erfolgte über einen Server der LegalTech GmbH mit Rechenzentrum in Frankfurt a.M. (AWS EU-Central-1).</w:t>
      </w:r>
    </w:p>
    <w:p>
      <w:pPr>
        <w:jc w:val="left"/>
      </w:pPr>
      <w:r>
        <w:t>Dr. Rotbruch lud den Ehevertragsentwurf (PDF, 14 Seiten) unverändert — und damit mit personenbezogenen Daten beider Vertragsparteien (Namen, Geburtsdaten, Adresse, Vermögensübersicht) — in das Cloud-System hoch. Ein Auftragsverarbeitungsvertrag (AVV) nach Art. 28 DSGVO lag zu diesem Zeitpunkt nicht vor. Die LegalTech GmbH hatte lediglich in ihren AGB erklärt, Daten nicht für Trainingszwecke zu verwenden — eine datenschutzrechtlich nicht ausreichende Grundlage für die Übermittlung von Mandantendaten.</w:t>
      </w:r>
    </w:p>
    <w:p>
      <w:pPr>
        <w:jc w:val="left"/>
      </w:pPr>
      <w:r>
        <w:t>Das KI-Tool generierte innerhalb von 47 Sekunden eine 8-seitige Analyse. Dr. Rotbruch ergänzte diese mit handschriftlichen Randnotizen zu einzelnen Punkten und übersandte das Dokument nahezu unverändert als „anwaltliche Vertragsprüfung" per E-Mail an Ulrike Habernau. Eigene rechtliche Würdigung des Sittenwidrigkeitsrisikos nach § 138 BGB fehlt in der übersandten Analyse vollständig.</w:t>
      </w:r>
    </w:p>
    <w:p>
      <w:pPr>
        <w:pStyle w:val="Heading2"/>
      </w:pPr>
      <w:r>
        <w:rPr>
          <w:rFonts w:ascii="Times New Roman" w:hAnsi="Times New Roman"/>
        </w:rPr>
        <w:t>5. Warnhinweis im KI-Output</w:t>
      </w:r>
    </w:p>
    <w:p>
      <w:pPr>
        <w:jc w:val="left"/>
      </w:pPr>
      <w:r>
        <w:t>Bemerkenswert: Das KI-Tool enthielt am Ende seiner Ausgabe folgenden automatisch generierten Hinweis:</w:t>
      </w:r>
    </w:p>
    <w:p>
      <w:pPr>
        <w:ind w:left="567"/>
      </w:pPr>
      <w:r>
        <w:rPr>
          <w:i/>
        </w:rPr>
        <w:t>„Diese Analyse ersetzt keine anwaltliche Prüfung. Bei Kombination von Zugewinnausschluss, Versorgungsausgleichsverzicht und Unterhaltsverzicht sollte eine Sittenwidrigkeitsprüfung nach § 138 BGB durch einen qualifizierten Rechtsanwalt vorgenommen werden."</w:t>
      </w:r>
    </w:p>
    <w:p>
      <w:pPr>
        <w:jc w:val="left"/>
      </w:pPr>
      <w:r>
        <w:t xml:space="preserve">Dieser Warnhinweis wurde von Dr. Rotbruch nicht an die Mandantin weitergeleitet und in der übersandten Fassung gestrichen. Dies ist durch den E-Mail-Anhang (Aktenstück: </w:t>
      </w:r>
      <w:r>
        <w:t>emails/2026-02-14_kanzlei_an_rotbruch_doppelmandat_aufklaerung.eml</w:t>
      </w:r>
      <w:r>
        <w:t>) dokumentiert.</w:t>
      </w:r>
    </w:p>
    <w:p>
      <w:pPr>
        <w:pStyle w:val="Heading2"/>
      </w:pPr>
      <w:r>
        <w:rPr>
          <w:rFonts w:ascii="Times New Roman" w:hAnsi="Times New Roman"/>
        </w:rPr>
        <w:t>6. AGB-Klausel der Kanzlei</w:t>
      </w:r>
    </w:p>
    <w:p>
      <w:pPr>
        <w:jc w:val="left"/>
      </w:pPr>
      <w:r>
        <w:t>Rotbruchs Kanzlei-AGB enthielten seit 2021 folgende Klausel:</w:t>
      </w:r>
    </w:p>
    <w:p>
      <w:pPr>
        <w:ind w:left="567"/>
      </w:pPr>
      <w:r>
        <w:rPr>
          <w:i/>
        </w:rPr>
        <w:t>„Die Beratungsleistungen erfolgen unter Einsatz digitaler und KI-gestützter Hilfsmittel. Der Mandant erklärt sich hiermit einverstanden."</w:t>
      </w:r>
    </w:p>
    <w:p>
      <w:pPr>
        <w:jc w:val="left"/>
      </w:pPr>
      <w:r>
        <w:t>Diese Klausel ist nach § 307 Abs. 1 Satz 1 BGB unwirksam, da sie den Mandanten unangemessen benachteiligt: Sie verschafft dem Anwalt ein einseitiges Recht zur Weitergabe von Mandantendaten an nicht spezifizierte KI-Systeme, ohne dass der Mandant über Art, Umfang und Risiken informiert wird. Die Klausel verstößt zudem gegen § 43a Abs. 2 BRAO (Verschwiegenheitspflicht) und Art. 6 DSGVO (keine wirksame Einwilligung via AGB-Klausel). Näheres dazu in Aktenstück 11.</w:t>
      </w:r>
    </w:p>
    <w:p>
      <w:pPr>
        <w:pStyle w:val="Heading2"/>
      </w:pPr>
      <w:r>
        <w:rPr>
          <w:rFonts w:ascii="Times New Roman" w:hAnsi="Times New Roman"/>
        </w:rPr>
        <w:t>7. Beurteilung nach § 43a BRAO</w:t>
      </w:r>
    </w:p>
    <w:p>
      <w:pPr>
        <w:jc w:val="left"/>
      </w:pPr>
      <w:r>
        <w:t>Die Mandatsübernahme und ihre Dokumentation weisen folgende berufsrechtliche Defizite auf:</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Pflicht</w:t>
            </w:r>
          </w:p>
        </w:tc>
        <w:tc>
          <w:tcPr>
            <w:tcW w:type="dxa" w:w="3024"/>
          </w:tcPr>
          <w:p>
            <w:r>
              <w:rPr>
                <w:rFonts w:ascii="Times New Roman" w:hAnsi="Times New Roman"/>
                <w:b/>
                <w:sz w:val="20"/>
              </w:rPr>
              <w:t>Rechtsgrundlage</w:t>
            </w:r>
          </w:p>
        </w:tc>
        <w:tc>
          <w:tcPr>
            <w:tcW w:type="dxa" w:w="3024"/>
          </w:tcPr>
          <w:p>
            <w:r>
              <w:rPr>
                <w:rFonts w:ascii="Times New Roman" w:hAnsi="Times New Roman"/>
                <w:b/>
                <w:sz w:val="20"/>
              </w:rPr>
              <w:t>Befund</w:t>
            </w:r>
          </w:p>
        </w:tc>
      </w:tr>
      <w:tr>
        <w:tc>
          <w:tcPr>
            <w:tcW w:type="dxa" w:w="3024"/>
          </w:tcPr>
          <w:p>
            <w:r>
              <w:rPr>
                <w:rFonts w:ascii="Times New Roman" w:hAnsi="Times New Roman"/>
                <w:sz w:val="20"/>
              </w:rPr>
              <w:t>Konfliktprüfung und Dokumentation</w:t>
            </w:r>
          </w:p>
        </w:tc>
        <w:tc>
          <w:tcPr>
            <w:tcW w:type="dxa" w:w="3024"/>
          </w:tcPr>
          <w:p>
            <w:r>
              <w:rPr>
                <w:rFonts w:ascii="Times New Roman" w:hAnsi="Times New Roman"/>
                <w:sz w:val="20"/>
              </w:rPr>
              <w:t>§ 43a Abs. 4 BRAO, § 3 BORA</w:t>
            </w:r>
          </w:p>
        </w:tc>
        <w:tc>
          <w:tcPr>
            <w:tcW w:type="dxa" w:w="3024"/>
          </w:tcPr>
          <w:p>
            <w:r>
              <w:rPr>
                <w:rFonts w:ascii="Times New Roman" w:hAnsi="Times New Roman"/>
                <w:sz w:val="20"/>
              </w:rPr>
              <w:t>Unvollständig: nur knappe Handaktennotiz</w:t>
            </w:r>
          </w:p>
        </w:tc>
      </w:tr>
      <w:tr>
        <w:tc>
          <w:tcPr>
            <w:tcW w:type="dxa" w:w="3024"/>
          </w:tcPr>
          <w:p>
            <w:r>
              <w:rPr>
                <w:rFonts w:ascii="Times New Roman" w:hAnsi="Times New Roman"/>
                <w:sz w:val="20"/>
              </w:rPr>
              <w:t>Aufklärung über KI-Einsatz</w:t>
            </w:r>
          </w:p>
        </w:tc>
        <w:tc>
          <w:tcPr>
            <w:tcW w:type="dxa" w:w="3024"/>
          </w:tcPr>
          <w:p>
            <w:r>
              <w:rPr>
                <w:rFonts w:ascii="Times New Roman" w:hAnsi="Times New Roman"/>
                <w:sz w:val="20"/>
              </w:rPr>
              <w:t>§ 43a Abs. 1 BRAO, § 11 BRAO analog</w:t>
            </w:r>
          </w:p>
        </w:tc>
        <w:tc>
          <w:tcPr>
            <w:tcW w:type="dxa" w:w="3024"/>
          </w:tcPr>
          <w:p>
            <w:r>
              <w:rPr>
                <w:rFonts w:ascii="Times New Roman" w:hAnsi="Times New Roman"/>
                <w:sz w:val="20"/>
              </w:rPr>
              <w:t>Keine Information der Mandantin</w:t>
            </w:r>
          </w:p>
        </w:tc>
      </w:tr>
      <w:tr>
        <w:tc>
          <w:tcPr>
            <w:tcW w:type="dxa" w:w="3024"/>
          </w:tcPr>
          <w:p>
            <w:r>
              <w:rPr>
                <w:rFonts w:ascii="Times New Roman" w:hAnsi="Times New Roman"/>
                <w:sz w:val="20"/>
              </w:rPr>
              <w:t>Verschwiegenheit / Datenweitergabe</w:t>
            </w:r>
          </w:p>
        </w:tc>
        <w:tc>
          <w:tcPr>
            <w:tcW w:type="dxa" w:w="3024"/>
          </w:tcPr>
          <w:p>
            <w:r>
              <w:rPr>
                <w:rFonts w:ascii="Times New Roman" w:hAnsi="Times New Roman"/>
                <w:sz w:val="20"/>
              </w:rPr>
              <w:t>§ 43a Abs. 2 BRAO</w:t>
            </w:r>
          </w:p>
        </w:tc>
        <w:tc>
          <w:tcPr>
            <w:tcW w:type="dxa" w:w="3024"/>
          </w:tcPr>
          <w:p>
            <w:r>
              <w:rPr>
                <w:rFonts w:ascii="Times New Roman" w:hAnsi="Times New Roman"/>
                <w:sz w:val="20"/>
              </w:rPr>
              <w:t>Verletzt: Hochladen in Cloud-KI ohne AVV</w:t>
            </w:r>
          </w:p>
        </w:tc>
      </w:tr>
      <w:tr>
        <w:tc>
          <w:tcPr>
            <w:tcW w:type="dxa" w:w="3024"/>
          </w:tcPr>
          <w:p>
            <w:r>
              <w:rPr>
                <w:rFonts w:ascii="Times New Roman" w:hAnsi="Times New Roman"/>
                <w:sz w:val="20"/>
              </w:rPr>
              <w:t>Eigenverantwortliche Prüfung</w:t>
            </w:r>
          </w:p>
        </w:tc>
        <w:tc>
          <w:tcPr>
            <w:tcW w:type="dxa" w:w="3024"/>
          </w:tcPr>
          <w:p>
            <w:r>
              <w:rPr>
                <w:rFonts w:ascii="Times New Roman" w:hAnsi="Times New Roman"/>
                <w:sz w:val="20"/>
              </w:rPr>
              <w:t>§ 43a Abs. 1 BRAO</w:t>
            </w:r>
          </w:p>
        </w:tc>
        <w:tc>
          <w:tcPr>
            <w:tcW w:type="dxa" w:w="3024"/>
          </w:tcPr>
          <w:p>
            <w:r>
              <w:rPr>
                <w:rFonts w:ascii="Times New Roman" w:hAnsi="Times New Roman"/>
                <w:sz w:val="20"/>
              </w:rPr>
              <w:t>Verletzt: KI-Output unrevidiert weitergeleitet</w:t>
            </w:r>
          </w:p>
        </w:tc>
      </w:tr>
      <w:tr>
        <w:tc>
          <w:tcPr>
            <w:tcW w:type="dxa" w:w="3024"/>
          </w:tcPr>
          <w:p>
            <w:r>
              <w:rPr>
                <w:rFonts w:ascii="Times New Roman" w:hAnsi="Times New Roman"/>
                <w:sz w:val="20"/>
              </w:rPr>
              <w:t>AGB-Gestaltung</w:t>
            </w:r>
          </w:p>
        </w:tc>
        <w:tc>
          <w:tcPr>
            <w:tcW w:type="dxa" w:w="3024"/>
          </w:tcPr>
          <w:p>
            <w:r>
              <w:rPr>
                <w:rFonts w:ascii="Times New Roman" w:hAnsi="Times New Roman"/>
                <w:sz w:val="20"/>
              </w:rPr>
              <w:t>§ 307 BGB</w:t>
            </w:r>
          </w:p>
        </w:tc>
        <w:tc>
          <w:tcPr>
            <w:tcW w:type="dxa" w:w="3024"/>
          </w:tcPr>
          <w:p>
            <w:r>
              <w:rPr>
                <w:rFonts w:ascii="Times New Roman" w:hAnsi="Times New Roman"/>
                <w:sz w:val="20"/>
              </w:rPr>
              <w:t>Klausel unwirksam</w:t>
            </w:r>
          </w:p>
        </w:tc>
      </w:tr>
    </w:tbl>
    <w:p>
      <w:pPr>
        <w:pStyle w:val="Heading2"/>
      </w:pPr>
      <w:r>
        <w:rPr>
          <w:rFonts w:ascii="Times New Roman" w:hAnsi="Times New Roman"/>
        </w:rPr>
        <w:t>8. Schlussfolgerung</w:t>
      </w:r>
    </w:p>
    <w:p>
      <w:pPr>
        <w:jc w:val="left"/>
      </w:pPr>
      <w:r>
        <w:t>Die Mandatsübernahme durch Dr. Rotbruch enthält strukturelle Defizite, die sowohl die zivilrechtliche Haftung gegenüber Mandantin Habernau (§§ 280, 675 BGB) als auch das berufsrechtliche Rügeverfahren (§ 73 Abs. 2 Nr. 4 BRAO) begründen. Die fehlende Aufklärung über den KI-Einsatz, die mangelhafte Konfliktpflichtdokumentation und die unwirksame AGB-Klausel bilden die Hauptvorwürfe des Kammerverfahrens.</w:t>
      </w:r>
    </w:p>
    <w:p/>
    <w:p>
      <w:pPr>
        <w:jc w:val="left"/>
      </w:pPr>
      <w:r>
        <w:rPr>
          <w:b/>
        </w:rPr>
        <w:t>Quellen:</w:t>
      </w:r>
    </w:p>
    <w:p>
      <w:pPr>
        <w:pStyle w:val="ListBullet"/>
      </w:pPr>
      <w:r>
        <w:t>§ 43a BRAO (dejure.org)</w:t>
      </w:r>
    </w:p>
    <w:p>
      <w:pPr>
        <w:pStyle w:val="ListBullet"/>
      </w:pPr>
      <w:r>
        <w:t>§ 3 BORA (dejure.org)</w:t>
      </w:r>
    </w:p>
    <w:p>
      <w:pPr>
        <w:pStyle w:val="ListBullet"/>
      </w:pPr>
      <w:r>
        <w:t>§ 4 BORA (dejure.org)</w:t>
      </w:r>
    </w:p>
    <w:p>
      <w:pPr>
        <w:pStyle w:val="ListBullet"/>
      </w:pPr>
      <w:r>
        <w:t>Art. 28 DSGVO (EUR-Lex)</w:t>
      </w:r>
    </w:p>
    <w:p>
      <w:pPr>
        <w:pStyle w:val="ListBullet"/>
      </w:pPr>
      <w:r>
        <w:t>§ 307 BGB (dejure.org)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