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02 Beteiligte und Verfahrensübersicht</w:t>
      </w:r>
    </w:p>
    <w:p>
      <w:pPr>
        <w:jc w:val="left"/>
      </w:pPr>
      <w:r>
        <w:rPr>
          <w:b/>
        </w:rPr>
        <w:t>Akte:</w:t>
      </w:r>
      <w:r>
        <w:t xml:space="preserve"> Berufsrecht / KI-Vertragsprüfung — Kanzlei Rotbruch, Köln</w:t>
      </w:r>
    </w:p>
    <w:p>
      <w:pPr>
        <w:jc w:val="left"/>
      </w:pPr>
      <w:r>
        <w:rPr>
          <w:b/>
        </w:rPr>
        <w:t>Stichtag Aktenstück:</w:t>
      </w:r>
      <w:r>
        <w:t xml:space="preserve"> 15. April 2026</w:t>
      </w:r>
    </w:p>
    <w:p/>
    <w:p>
      <w:pPr>
        <w:pStyle w:val="Heading2"/>
      </w:pPr>
      <w:r>
        <w:rPr>
          <w:rFonts w:ascii="Times New Roman" w:hAnsi="Times New Roman"/>
        </w:rPr>
        <w:t>1. Beteiligte Personen und Institutionen</w:t>
      </w:r>
    </w:p>
    <w:p>
      <w:pPr>
        <w:pStyle w:val="Heading3"/>
      </w:pPr>
      <w:r>
        <w:rPr>
          <w:rFonts w:ascii="Times New Roman" w:hAnsi="Times New Roman"/>
        </w:rPr>
        <w:t>1.1 Beklagter / Beschuldigter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Name</w:t>
            </w:r>
          </w:p>
        </w:tc>
        <w:tc>
          <w:tcPr>
            <w:tcW w:type="dxa" w:w="4536"/>
          </w:tcPr>
          <w:p>
            <w:r>
              <w:rPr>
                <w:rFonts w:ascii="Times New Roman" w:hAnsi="Times New Roman"/>
                <w:sz w:val="20"/>
              </w:rPr>
              <w:t>Dr. Friedhelm Rotbruch</w:t>
            </w:r>
          </w:p>
        </w:tc>
      </w:tr>
      <w:tr>
        <w:tc>
          <w:tcPr>
            <w:tcW w:type="dxa" w:w="4536"/>
          </w:tcPr>
          <w:p>
            <w:r>
              <w:rPr>
                <w:rFonts w:ascii="Times New Roman" w:hAnsi="Times New Roman"/>
                <w:sz w:val="20"/>
              </w:rPr>
              <w:t>Titel</w:t>
            </w:r>
          </w:p>
        </w:tc>
        <w:tc>
          <w:tcPr>
            <w:tcW w:type="dxa" w:w="4536"/>
          </w:tcPr>
          <w:p>
            <w:r>
              <w:rPr>
                <w:rFonts w:ascii="Times New Roman" w:hAnsi="Times New Roman"/>
                <w:sz w:val="20"/>
              </w:rPr>
              <w:t>Rechtsanwalt (Zulassung Köln seit 1998)</w:t>
            </w:r>
          </w:p>
        </w:tc>
      </w:tr>
      <w:tr>
        <w:tc>
          <w:tcPr>
            <w:tcW w:type="dxa" w:w="4536"/>
          </w:tcPr>
          <w:p>
            <w:r>
              <w:rPr>
                <w:rFonts w:ascii="Times New Roman" w:hAnsi="Times New Roman"/>
                <w:sz w:val="20"/>
              </w:rPr>
              <w:t>Kanzlei</w:t>
            </w:r>
          </w:p>
        </w:tc>
        <w:tc>
          <w:tcPr>
            <w:tcW w:type="dxa" w:w="4536"/>
          </w:tcPr>
          <w:p>
            <w:r>
              <w:rPr>
                <w:rFonts w:ascii="Times New Roman" w:hAnsi="Times New Roman"/>
                <w:sz w:val="20"/>
              </w:rPr>
              <w:t>Kanzlei Dr. Rotbruch (Einzelkanzlei)</w:t>
            </w:r>
          </w:p>
        </w:tc>
      </w:tr>
      <w:tr>
        <w:tc>
          <w:tcPr>
            <w:tcW w:type="dxa" w:w="4536"/>
          </w:tcPr>
          <w:p>
            <w:r>
              <w:rPr>
                <w:rFonts w:ascii="Times New Roman" w:hAnsi="Times New Roman"/>
                <w:sz w:val="20"/>
              </w:rPr>
              <w:t>Adresse</w:t>
            </w:r>
          </w:p>
        </w:tc>
        <w:tc>
          <w:tcPr>
            <w:tcW w:type="dxa" w:w="4536"/>
          </w:tcPr>
          <w:p>
            <w:r>
              <w:rPr>
                <w:rFonts w:ascii="Times New Roman" w:hAnsi="Times New Roman"/>
                <w:sz w:val="20"/>
              </w:rPr>
              <w:t>Breite Str. 112, 50667 Köln</w:t>
            </w:r>
          </w:p>
        </w:tc>
      </w:tr>
      <w:tr>
        <w:tc>
          <w:tcPr>
            <w:tcW w:type="dxa" w:w="4536"/>
          </w:tcPr>
          <w:p>
            <w:r>
              <w:rPr>
                <w:rFonts w:ascii="Times New Roman" w:hAnsi="Times New Roman"/>
                <w:sz w:val="20"/>
              </w:rPr>
              <w:t>Schwerpunkt</w:t>
            </w:r>
          </w:p>
        </w:tc>
        <w:tc>
          <w:tcPr>
            <w:tcW w:type="dxa" w:w="4536"/>
          </w:tcPr>
          <w:p>
            <w:r>
              <w:rPr>
                <w:rFonts w:ascii="Times New Roman" w:hAnsi="Times New Roman"/>
                <w:sz w:val="20"/>
              </w:rPr>
              <w:t>Familienrecht, Erbrecht</w:t>
            </w:r>
          </w:p>
        </w:tc>
      </w:tr>
      <w:tr>
        <w:tc>
          <w:tcPr>
            <w:tcW w:type="dxa" w:w="4536"/>
          </w:tcPr>
          <w:p>
            <w:r>
              <w:rPr>
                <w:rFonts w:ascii="Times New Roman" w:hAnsi="Times New Roman"/>
                <w:sz w:val="20"/>
              </w:rPr>
              <w:t>Haftpflichtversicherer</w:t>
            </w:r>
          </w:p>
        </w:tc>
        <w:tc>
          <w:tcPr>
            <w:tcW w:type="dxa" w:w="4536"/>
          </w:tcPr>
          <w:p>
            <w:r>
              <w:rPr>
                <w:rFonts w:ascii="Times New Roman" w:hAnsi="Times New Roman"/>
                <w:sz w:val="20"/>
              </w:rPr>
              <w:t>Allianz Versicherung AG, Police Nr. RB-2019-HH-44712</w:t>
            </w:r>
          </w:p>
        </w:tc>
      </w:tr>
      <w:tr>
        <w:tc>
          <w:tcPr>
            <w:tcW w:type="dxa" w:w="4536"/>
          </w:tcPr>
          <w:p>
            <w:r>
              <w:rPr>
                <w:rFonts w:ascii="Times New Roman" w:hAnsi="Times New Roman"/>
                <w:sz w:val="20"/>
              </w:rPr>
              <w:t>Kammerzugehörigkeit</w:t>
            </w:r>
          </w:p>
        </w:tc>
        <w:tc>
          <w:tcPr>
            <w:tcW w:type="dxa" w:w="4536"/>
          </w:tcPr>
          <w:p>
            <w:r>
              <w:rPr>
                <w:rFonts w:ascii="Times New Roman" w:hAnsi="Times New Roman"/>
                <w:sz w:val="20"/>
              </w:rPr>
              <w:t>Rechtsanwaltskammer Köln (Mitgl.-Nr. 19980412)</w:t>
            </w:r>
          </w:p>
        </w:tc>
      </w:tr>
    </w:tbl>
    <w:p>
      <w:pPr>
        <w:jc w:val="left"/>
      </w:pPr>
      <w:r>
        <w:t>Dr. Rotbruch führt eine Einzelkanzlei ohne angestellte Rechtsanwälte. Zwei Rechtsfachwirte (Frau Gromann, Herr Tkacz) sind als Bürokräfte tätig. Dr. Rotbruch ist seit 2021 Fachanwalt für Familienrecht (§ 14 FAO).</w:t>
      </w:r>
    </w:p>
    <w:p>
      <w:pPr>
        <w:pStyle w:val="Heading3"/>
      </w:pPr>
      <w:r>
        <w:rPr>
          <w:rFonts w:ascii="Times New Roman" w:hAnsi="Times New Roman"/>
        </w:rPr>
        <w:t>1.2 Klägerin / Beschwerdeführerin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Name</w:t>
            </w:r>
          </w:p>
        </w:tc>
        <w:tc>
          <w:tcPr>
            <w:tcW w:type="dxa" w:w="4536"/>
          </w:tcPr>
          <w:p>
            <w:r>
              <w:rPr>
                <w:rFonts w:ascii="Times New Roman" w:hAnsi="Times New Roman"/>
                <w:sz w:val="20"/>
              </w:rPr>
              <w:t>Ulrike Habernau, geb. Sternberg (1978)</w:t>
            </w:r>
          </w:p>
        </w:tc>
      </w:tr>
      <w:tr>
        <w:tc>
          <w:tcPr>
            <w:tcW w:type="dxa" w:w="4536"/>
          </w:tcPr>
          <w:p>
            <w:r>
              <w:rPr>
                <w:rFonts w:ascii="Times New Roman" w:hAnsi="Times New Roman"/>
                <w:sz w:val="20"/>
              </w:rPr>
              <w:t>Adresse</w:t>
            </w:r>
          </w:p>
        </w:tc>
        <w:tc>
          <w:tcPr>
            <w:tcW w:type="dxa" w:w="4536"/>
          </w:tcPr>
          <w:p>
            <w:r>
              <w:rPr>
                <w:rFonts w:ascii="Times New Roman" w:hAnsi="Times New Roman"/>
                <w:sz w:val="20"/>
              </w:rPr>
              <w:t>Venloer Str. 431, 50825 Köln-Ehrenfeld</w:t>
            </w:r>
          </w:p>
        </w:tc>
      </w:tr>
      <w:tr>
        <w:tc>
          <w:tcPr>
            <w:tcW w:type="dxa" w:w="4536"/>
          </w:tcPr>
          <w:p>
            <w:r>
              <w:rPr>
                <w:rFonts w:ascii="Times New Roman" w:hAnsi="Times New Roman"/>
                <w:sz w:val="20"/>
              </w:rPr>
              <w:t>Beruf</w:t>
            </w:r>
          </w:p>
        </w:tc>
        <w:tc>
          <w:tcPr>
            <w:tcW w:type="dxa" w:w="4536"/>
          </w:tcPr>
          <w:p>
            <w:r>
              <w:rPr>
                <w:rFonts w:ascii="Times New Roman" w:hAnsi="Times New Roman"/>
                <w:sz w:val="20"/>
              </w:rPr>
              <w:t>Krankenpflegerin (Vollzeit, Uniklinik Köln)</w:t>
            </w:r>
          </w:p>
        </w:tc>
      </w:tr>
      <w:tr>
        <w:tc>
          <w:tcPr>
            <w:tcW w:type="dxa" w:w="4536"/>
          </w:tcPr>
          <w:p>
            <w:r>
              <w:rPr>
                <w:rFonts w:ascii="Times New Roman" w:hAnsi="Times New Roman"/>
                <w:sz w:val="20"/>
              </w:rPr>
              <w:t>Verfahren</w:t>
            </w:r>
          </w:p>
        </w:tc>
        <w:tc>
          <w:tcPr>
            <w:tcW w:type="dxa" w:w="4536"/>
          </w:tcPr>
          <w:p>
            <w:r>
              <w:rPr>
                <w:rFonts w:ascii="Times New Roman" w:hAnsi="Times New Roman"/>
                <w:sz w:val="20"/>
              </w:rPr>
              <w:t>Klägerin: LG Köln 2 O 188/26</w:t>
            </w:r>
          </w:p>
        </w:tc>
      </w:tr>
      <w:tr>
        <w:tc>
          <w:tcPr>
            <w:tcW w:type="dxa" w:w="4536"/>
          </w:tcPr>
          <w:p>
            <w:r>
              <w:rPr>
                <w:rFonts w:ascii="Times New Roman" w:hAnsi="Times New Roman"/>
                <w:sz w:val="20"/>
              </w:rPr>
              <w:t>Klagevertreterin</w:t>
            </w:r>
          </w:p>
        </w:tc>
        <w:tc>
          <w:tcPr>
            <w:tcW w:type="dxa" w:w="4536"/>
          </w:tcPr>
          <w:p>
            <w:r>
              <w:rPr>
                <w:rFonts w:ascii="Times New Roman" w:hAnsi="Times New Roman"/>
                <w:sz w:val="20"/>
              </w:rPr>
              <w:t>RAin Dr. Petra Wiesmann, Kanzlei Wiesmann &amp; Bollert, Köln</w:t>
            </w:r>
          </w:p>
        </w:tc>
      </w:tr>
    </w:tbl>
    <w:p>
      <w:pPr>
        <w:jc w:val="left"/>
      </w:pPr>
      <w:r>
        <w:t>Frau Habernau war von März 2022 bis zur Scheidung (rechtskräftig: 18. Januar 2026) Mandantin von Dr. Rotbruch. Der Ehevertrag wurde am 28. April 2022 notariell beurkundet (Notar Klaus Bergstedt, Köln). Die Ehe wurde am 14. Mai 2022 geschlossen, der Scheidungsantrag am 3. Februar 2025 eingereicht.</w:t>
      </w:r>
    </w:p>
    <w:p>
      <w:pPr>
        <w:pStyle w:val="Heading3"/>
      </w:pPr>
      <w:r>
        <w:rPr>
          <w:rFonts w:ascii="Times New Roman" w:hAnsi="Times New Roman"/>
        </w:rPr>
        <w:t>1.3 Ehemann (nicht Partei im Zivilverfahren)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Name</w:t>
            </w:r>
          </w:p>
        </w:tc>
        <w:tc>
          <w:tcPr>
            <w:tcW w:type="dxa" w:w="4536"/>
          </w:tcPr>
          <w:p>
            <w:r>
              <w:rPr>
                <w:rFonts w:ascii="Times New Roman" w:hAnsi="Times New Roman"/>
                <w:sz w:val="20"/>
              </w:rPr>
              <w:t>Hans-Dieter Habernau (geb. 1973)</w:t>
            </w:r>
          </w:p>
        </w:tc>
      </w:tr>
      <w:tr>
        <w:tc>
          <w:tcPr>
            <w:tcW w:type="dxa" w:w="4536"/>
          </w:tcPr>
          <w:p>
            <w:r>
              <w:rPr>
                <w:rFonts w:ascii="Times New Roman" w:hAnsi="Times New Roman"/>
                <w:sz w:val="20"/>
              </w:rPr>
              <w:t>Beruf</w:t>
            </w:r>
          </w:p>
        </w:tc>
        <w:tc>
          <w:tcPr>
            <w:tcW w:type="dxa" w:w="4536"/>
          </w:tcPr>
          <w:p>
            <w:r>
              <w:rPr>
                <w:rFonts w:ascii="Times New Roman" w:hAnsi="Times New Roman"/>
                <w:sz w:val="20"/>
              </w:rPr>
              <w:t>Kaufmännischer Geschäftsführer</w:t>
            </w:r>
          </w:p>
        </w:tc>
      </w:tr>
      <w:tr>
        <w:tc>
          <w:tcPr>
            <w:tcW w:type="dxa" w:w="4536"/>
          </w:tcPr>
          <w:p>
            <w:r>
              <w:rPr>
                <w:rFonts w:ascii="Times New Roman" w:hAnsi="Times New Roman"/>
                <w:sz w:val="20"/>
              </w:rPr>
              <w:t>Anwalt bei Vertragsschluss</w:t>
            </w:r>
          </w:p>
        </w:tc>
        <w:tc>
          <w:tcPr>
            <w:tcW w:type="dxa" w:w="4536"/>
          </w:tcPr>
          <w:p>
            <w:r>
              <w:rPr>
                <w:rFonts w:ascii="Times New Roman" w:hAnsi="Times New Roman"/>
                <w:sz w:val="20"/>
              </w:rPr>
              <w:t>RA Falkner, Köln</w:t>
            </w:r>
          </w:p>
        </w:tc>
      </w:tr>
      <w:tr>
        <w:tc>
          <w:tcPr>
            <w:tcW w:type="dxa" w:w="4536"/>
          </w:tcPr>
          <w:p>
            <w:r>
              <w:rPr>
                <w:rFonts w:ascii="Times New Roman" w:hAnsi="Times New Roman"/>
                <w:sz w:val="20"/>
              </w:rPr>
              <w:t>Anwalt bei Scheidung</w:t>
            </w:r>
          </w:p>
        </w:tc>
        <w:tc>
          <w:tcPr>
            <w:tcW w:type="dxa" w:w="4536"/>
          </w:tcPr>
          <w:p>
            <w:r>
              <w:rPr>
                <w:rFonts w:ascii="Times New Roman" w:hAnsi="Times New Roman"/>
                <w:sz w:val="20"/>
              </w:rPr>
              <w:t>RA Dr. Kordts, Köln</w:t>
            </w:r>
          </w:p>
        </w:tc>
      </w:tr>
    </w:tbl>
    <w:p>
      <w:pPr>
        <w:pStyle w:val="Heading3"/>
      </w:pPr>
      <w:r>
        <w:rPr>
          <w:rFonts w:ascii="Times New Roman" w:hAnsi="Times New Roman"/>
        </w:rPr>
        <w:t>1.4 Rechtsanwaltskammer Köln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Institution</w:t>
            </w:r>
          </w:p>
        </w:tc>
        <w:tc>
          <w:tcPr>
            <w:tcW w:type="dxa" w:w="4536"/>
          </w:tcPr>
          <w:p>
            <w:r>
              <w:rPr>
                <w:rFonts w:ascii="Times New Roman" w:hAnsi="Times New Roman"/>
                <w:sz w:val="20"/>
              </w:rPr>
              <w:t>Rechtsanwaltskammer Köln, Riehler Str. 30, 50668 Köln</w:t>
            </w:r>
          </w:p>
        </w:tc>
      </w:tr>
      <w:tr>
        <w:tc>
          <w:tcPr>
            <w:tcW w:type="dxa" w:w="4536"/>
          </w:tcPr>
          <w:p>
            <w:r>
              <w:rPr>
                <w:rFonts w:ascii="Times New Roman" w:hAnsi="Times New Roman"/>
                <w:sz w:val="20"/>
              </w:rPr>
              <w:t>Verfahren</w:t>
            </w:r>
          </w:p>
        </w:tc>
        <w:tc>
          <w:tcPr>
            <w:tcW w:type="dxa" w:w="4536"/>
          </w:tcPr>
          <w:p>
            <w:r>
              <w:rPr>
                <w:rFonts w:ascii="Times New Roman" w:hAnsi="Times New Roman"/>
                <w:sz w:val="20"/>
              </w:rPr>
              <w:t>Rügeverfahren Az. RAK-K 2026-0188</w:t>
            </w:r>
          </w:p>
        </w:tc>
      </w:tr>
      <w:tr>
        <w:tc>
          <w:tcPr>
            <w:tcW w:type="dxa" w:w="4536"/>
          </w:tcPr>
          <w:p>
            <w:r>
              <w:rPr>
                <w:rFonts w:ascii="Times New Roman" w:hAnsi="Times New Roman"/>
                <w:sz w:val="20"/>
              </w:rPr>
              <w:t>Zuständige Abteilung</w:t>
            </w:r>
          </w:p>
        </w:tc>
        <w:tc>
          <w:tcPr>
            <w:tcW w:type="dxa" w:w="4536"/>
          </w:tcPr>
          <w:p>
            <w:r>
              <w:rPr>
                <w:rFonts w:ascii="Times New Roman" w:hAnsi="Times New Roman"/>
                <w:sz w:val="20"/>
              </w:rPr>
              <w:t>Berufsrechtliche Abteilung (Vorstand)</w:t>
            </w:r>
          </w:p>
        </w:tc>
      </w:tr>
      <w:tr>
        <w:tc>
          <w:tcPr>
            <w:tcW w:type="dxa" w:w="4536"/>
          </w:tcPr>
          <w:p>
            <w:r>
              <w:rPr>
                <w:rFonts w:ascii="Times New Roman" w:hAnsi="Times New Roman"/>
                <w:sz w:val="20"/>
              </w:rPr>
              <w:t>Verfahrensgrundlage</w:t>
            </w:r>
          </w:p>
        </w:tc>
        <w:tc>
          <w:tcPr>
            <w:tcW w:type="dxa" w:w="4536"/>
          </w:tcPr>
          <w:p>
            <w:r>
              <w:rPr>
                <w:rFonts w:ascii="Times New Roman" w:hAnsi="Times New Roman"/>
                <w:sz w:val="20"/>
              </w:rPr>
              <w:t>§ 73 Abs. 2 Nr. 4 BRAO</w:t>
            </w:r>
          </w:p>
        </w:tc>
      </w:tr>
      <w:tr>
        <w:tc>
          <w:tcPr>
            <w:tcW w:type="dxa" w:w="4536"/>
          </w:tcPr>
          <w:p>
            <w:r>
              <w:rPr>
                <w:rFonts w:ascii="Times New Roman" w:hAnsi="Times New Roman"/>
                <w:sz w:val="20"/>
              </w:rPr>
              <w:t>Beteiligte Stelle</w:t>
            </w:r>
          </w:p>
        </w:tc>
        <w:tc>
          <w:tcPr>
            <w:tcW w:type="dxa" w:w="4536"/>
          </w:tcPr>
          <w:p>
            <w:r>
              <w:rPr>
                <w:rFonts w:ascii="Times New Roman" w:hAnsi="Times New Roman"/>
                <w:sz w:val="20"/>
              </w:rPr>
              <w:t>Ggf. Anwaltsgericht Köln (§ 114 BRAO)</w:t>
            </w:r>
          </w:p>
        </w:tc>
      </w:tr>
    </w:tbl>
    <w:p>
      <w:pPr>
        <w:pStyle w:val="Heading3"/>
      </w:pPr>
      <w:r>
        <w:rPr>
          <w:rFonts w:ascii="Times New Roman" w:hAnsi="Times New Roman"/>
        </w:rPr>
        <w:t>1.5 KI-Tool-Anbieter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Produkt</w:t>
            </w:r>
          </w:p>
        </w:tc>
        <w:tc>
          <w:tcPr>
            <w:tcW w:type="dxa" w:w="4536"/>
          </w:tcPr>
          <w:p>
            <w:r>
              <w:rPr>
                <w:rFonts w:ascii="Times New Roman" w:hAnsi="Times New Roman"/>
                <w:sz w:val="20"/>
              </w:rPr>
              <w:t>JuristAssist Pro 5</w:t>
            </w:r>
          </w:p>
        </w:tc>
      </w:tr>
      <w:tr>
        <w:tc>
          <w:tcPr>
            <w:tcW w:type="dxa" w:w="4536"/>
          </w:tcPr>
          <w:p>
            <w:r>
              <w:rPr>
                <w:rFonts w:ascii="Times New Roman" w:hAnsi="Times New Roman"/>
                <w:sz w:val="20"/>
              </w:rPr>
              <w:t>Anbieter</w:t>
            </w:r>
          </w:p>
        </w:tc>
        <w:tc>
          <w:tcPr>
            <w:tcW w:type="dxa" w:w="4536"/>
          </w:tcPr>
          <w:p>
            <w:r>
              <w:rPr>
                <w:rFonts w:ascii="Times New Roman" w:hAnsi="Times New Roman"/>
                <w:sz w:val="20"/>
              </w:rPr>
              <w:t>LegalTech GmbH, Rödingsmarkt 9, 20459 Hamburg</w:t>
            </w:r>
          </w:p>
        </w:tc>
      </w:tr>
      <w:tr>
        <w:tc>
          <w:tcPr>
            <w:tcW w:type="dxa" w:w="4536"/>
          </w:tcPr>
          <w:p>
            <w:r>
              <w:rPr>
                <w:rFonts w:ascii="Times New Roman" w:hAnsi="Times New Roman"/>
                <w:sz w:val="20"/>
              </w:rPr>
              <w:t>Betrieb</w:t>
            </w:r>
          </w:p>
        </w:tc>
        <w:tc>
          <w:tcPr>
            <w:tcW w:type="dxa" w:w="4536"/>
          </w:tcPr>
          <w:p>
            <w:r>
              <w:rPr>
                <w:rFonts w:ascii="Times New Roman" w:hAnsi="Times New Roman"/>
                <w:sz w:val="20"/>
              </w:rPr>
              <w:t>Cloud, AWS EU-Central-1, Frankfurt a.M.</w:t>
            </w:r>
          </w:p>
        </w:tc>
      </w:tr>
      <w:tr>
        <w:tc>
          <w:tcPr>
            <w:tcW w:type="dxa" w:w="4536"/>
          </w:tcPr>
          <w:p>
            <w:r>
              <w:rPr>
                <w:rFonts w:ascii="Times New Roman" w:hAnsi="Times New Roman"/>
                <w:sz w:val="20"/>
              </w:rPr>
              <w:t>Vertragsmodell</w:t>
            </w:r>
          </w:p>
        </w:tc>
        <w:tc>
          <w:tcPr>
            <w:tcW w:type="dxa" w:w="4536"/>
          </w:tcPr>
          <w:p>
            <w:r>
              <w:rPr>
                <w:rFonts w:ascii="Times New Roman" w:hAnsi="Times New Roman"/>
                <w:sz w:val="20"/>
              </w:rPr>
              <w:t>SaaS, Monatsabonnement (89 EUR/Monat)</w:t>
            </w:r>
          </w:p>
        </w:tc>
      </w:tr>
      <w:tr>
        <w:tc>
          <w:tcPr>
            <w:tcW w:type="dxa" w:w="4536"/>
          </w:tcPr>
          <w:p>
            <w:r>
              <w:rPr>
                <w:rFonts w:ascii="Times New Roman" w:hAnsi="Times New Roman"/>
                <w:sz w:val="20"/>
              </w:rPr>
              <w:t>AVV</w:t>
            </w:r>
          </w:p>
        </w:tc>
        <w:tc>
          <w:tcPr>
            <w:tcW w:type="dxa" w:w="4536"/>
          </w:tcPr>
          <w:p>
            <w:r>
              <w:rPr>
                <w:rFonts w:ascii="Times New Roman" w:hAnsi="Times New Roman"/>
                <w:sz w:val="20"/>
              </w:rPr>
              <w:t>Zum Zeitpunkt der Nutzung nicht abgeschlossen</w:t>
            </w:r>
          </w:p>
        </w:tc>
      </w:tr>
      <w:tr>
        <w:tc>
          <w:tcPr>
            <w:tcW w:type="dxa" w:w="4536"/>
          </w:tcPr>
          <w:p>
            <w:r>
              <w:rPr>
                <w:rFonts w:ascii="Times New Roman" w:hAnsi="Times New Roman"/>
                <w:sz w:val="20"/>
              </w:rPr>
              <w:t>Datenschutzdokumentation</w:t>
            </w:r>
          </w:p>
        </w:tc>
        <w:tc>
          <w:tcPr>
            <w:tcW w:type="dxa" w:w="4536"/>
          </w:tcPr>
          <w:p>
            <w:r>
              <w:rPr>
                <w:rFonts w:ascii="Times New Roman" w:hAnsi="Times New Roman"/>
                <w:sz w:val="20"/>
              </w:rPr>
              <w:t>AGB-Klausel (rechtlich unzureichend)</w:t>
            </w:r>
          </w:p>
        </w:tc>
      </w:tr>
    </w:tbl>
    <w:p>
      <w:pPr>
        <w:pStyle w:val="Heading3"/>
      </w:pPr>
      <w:r>
        <w:rPr>
          <w:rFonts w:ascii="Times New Roman" w:hAnsi="Times New Roman"/>
        </w:rPr>
        <w:t>1.6 Haftpflichtversicherer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Versicherer</w:t>
            </w:r>
          </w:p>
        </w:tc>
        <w:tc>
          <w:tcPr>
            <w:tcW w:type="dxa" w:w="4536"/>
          </w:tcPr>
          <w:p>
            <w:r>
              <w:rPr>
                <w:rFonts w:ascii="Times New Roman" w:hAnsi="Times New Roman"/>
                <w:sz w:val="20"/>
              </w:rPr>
              <w:t>Allianz Versicherung AG</w:t>
            </w:r>
          </w:p>
        </w:tc>
      </w:tr>
      <w:tr>
        <w:tc>
          <w:tcPr>
            <w:tcW w:type="dxa" w:w="4536"/>
          </w:tcPr>
          <w:p>
            <w:r>
              <w:rPr>
                <w:rFonts w:ascii="Times New Roman" w:hAnsi="Times New Roman"/>
                <w:sz w:val="20"/>
              </w:rPr>
              <w:t>Ansprechpartner Regulierung</w:t>
            </w:r>
          </w:p>
        </w:tc>
        <w:tc>
          <w:tcPr>
            <w:tcW w:type="dxa" w:w="4536"/>
          </w:tcPr>
          <w:p>
            <w:r>
              <w:rPr>
                <w:rFonts w:ascii="Times New Roman" w:hAnsi="Times New Roman"/>
                <w:sz w:val="20"/>
              </w:rPr>
              <w:t>Frau Hoppe, Referat Anwaltshaftpflicht, München</w:t>
            </w:r>
          </w:p>
        </w:tc>
      </w:tr>
      <w:tr>
        <w:tc>
          <w:tcPr>
            <w:tcW w:type="dxa" w:w="4536"/>
          </w:tcPr>
          <w:p>
            <w:r>
              <w:rPr>
                <w:rFonts w:ascii="Times New Roman" w:hAnsi="Times New Roman"/>
                <w:sz w:val="20"/>
              </w:rPr>
              <w:t>Police</w:t>
            </w:r>
          </w:p>
        </w:tc>
        <w:tc>
          <w:tcPr>
            <w:tcW w:type="dxa" w:w="4536"/>
          </w:tcPr>
          <w:p>
            <w:r>
              <w:rPr>
                <w:rFonts w:ascii="Times New Roman" w:hAnsi="Times New Roman"/>
                <w:sz w:val="20"/>
              </w:rPr>
              <w:t>RB-2019-HH-44712</w:t>
            </w:r>
          </w:p>
        </w:tc>
      </w:tr>
      <w:tr>
        <w:tc>
          <w:tcPr>
            <w:tcW w:type="dxa" w:w="4536"/>
          </w:tcPr>
          <w:p>
            <w:r>
              <w:rPr>
                <w:rFonts w:ascii="Times New Roman" w:hAnsi="Times New Roman"/>
                <w:sz w:val="20"/>
              </w:rPr>
              <w:t>Versicherungssumme</w:t>
            </w:r>
          </w:p>
        </w:tc>
        <w:tc>
          <w:tcPr>
            <w:tcW w:type="dxa" w:w="4536"/>
          </w:tcPr>
          <w:p>
            <w:r>
              <w:rPr>
                <w:rFonts w:ascii="Times New Roman" w:hAnsi="Times New Roman"/>
                <w:sz w:val="20"/>
              </w:rPr>
              <w:t>500.000 EUR (Einzelschaden)</w:t>
            </w:r>
          </w:p>
        </w:tc>
      </w:tr>
      <w:tr>
        <w:tc>
          <w:tcPr>
            <w:tcW w:type="dxa" w:w="4536"/>
          </w:tcPr>
          <w:p>
            <w:r>
              <w:rPr>
                <w:rFonts w:ascii="Times New Roman" w:hAnsi="Times New Roman"/>
                <w:sz w:val="20"/>
              </w:rPr>
              <w:t>KI-Ausschlussklausel</w:t>
            </w:r>
          </w:p>
        </w:tc>
        <w:tc>
          <w:tcPr>
            <w:tcW w:type="dxa" w:w="4536"/>
          </w:tcPr>
          <w:p>
            <w:r>
              <w:rPr>
                <w:rFonts w:ascii="Times New Roman" w:hAnsi="Times New Roman"/>
                <w:sz w:val="20"/>
              </w:rPr>
              <w:t>Ja (Nachtrag 2023, § 4 Nr. 7 AVB)</w:t>
            </w:r>
          </w:p>
        </w:tc>
      </w:tr>
      <w:tr>
        <w:tc>
          <w:tcPr>
            <w:tcW w:type="dxa" w:w="4536"/>
          </w:tcPr>
          <w:p>
            <w:r>
              <w:rPr>
                <w:rFonts w:ascii="Times New Roman" w:hAnsi="Times New Roman"/>
                <w:sz w:val="20"/>
              </w:rPr>
              <w:t>Status</w:t>
            </w:r>
          </w:p>
        </w:tc>
        <w:tc>
          <w:tcPr>
            <w:tcW w:type="dxa" w:w="4536"/>
          </w:tcPr>
          <w:p>
            <w:r>
              <w:rPr>
                <w:rFonts w:ascii="Times New Roman" w:hAnsi="Times New Roman"/>
                <w:sz w:val="20"/>
              </w:rPr>
              <w:t>Deckung vorläufig abgelehnt</w:t>
            </w:r>
          </w:p>
        </w:tc>
      </w:tr>
    </w:tbl>
    <w:p/>
    <w:p>
      <w:pPr>
        <w:pStyle w:val="Heading2"/>
      </w:pPr>
      <w:r>
        <w:rPr>
          <w:rFonts w:ascii="Times New Roman" w:hAnsi="Times New Roman"/>
        </w:rPr>
        <w:t>2. Verfahrensübersicht</w:t>
      </w:r>
    </w:p>
    <w:p>
      <w:pPr>
        <w:pStyle w:val="Heading3"/>
      </w:pPr>
      <w:r>
        <w:rPr>
          <w:rFonts w:ascii="Times New Roman" w:hAnsi="Times New Roman"/>
        </w:rPr>
        <w:t>2.1 Zivilrechtliches Verfahren (Haftungsklage)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28.04.2022</w:t>
            </w:r>
          </w:p>
        </w:tc>
        <w:tc>
          <w:tcPr>
            <w:tcW w:type="dxa" w:w="4536"/>
          </w:tcPr>
          <w:p>
            <w:r>
              <w:rPr>
                <w:rFonts w:ascii="Times New Roman" w:hAnsi="Times New Roman"/>
                <w:sz w:val="20"/>
              </w:rPr>
              <w:t>Beurkundung Ehevertrag (Notar Bergstedt)</w:t>
            </w:r>
          </w:p>
        </w:tc>
      </w:tr>
      <w:tr>
        <w:tc>
          <w:tcPr>
            <w:tcW w:type="dxa" w:w="4536"/>
          </w:tcPr>
          <w:p>
            <w:r>
              <w:rPr>
                <w:rFonts w:ascii="Times New Roman" w:hAnsi="Times New Roman"/>
                <w:sz w:val="20"/>
              </w:rPr>
              <w:t>14.05.2022</w:t>
            </w:r>
          </w:p>
        </w:tc>
        <w:tc>
          <w:tcPr>
            <w:tcW w:type="dxa" w:w="4536"/>
          </w:tcPr>
          <w:p>
            <w:r>
              <w:rPr>
                <w:rFonts w:ascii="Times New Roman" w:hAnsi="Times New Roman"/>
                <w:sz w:val="20"/>
              </w:rPr>
              <w:t>Eheschließung Habernau / Habernau</w:t>
            </w:r>
          </w:p>
        </w:tc>
      </w:tr>
      <w:tr>
        <w:tc>
          <w:tcPr>
            <w:tcW w:type="dxa" w:w="4536"/>
          </w:tcPr>
          <w:p>
            <w:r>
              <w:rPr>
                <w:rFonts w:ascii="Times New Roman" w:hAnsi="Times New Roman"/>
                <w:sz w:val="20"/>
              </w:rPr>
              <w:t>März 2022</w:t>
            </w:r>
          </w:p>
        </w:tc>
        <w:tc>
          <w:tcPr>
            <w:tcW w:type="dxa" w:w="4536"/>
          </w:tcPr>
          <w:p>
            <w:r>
              <w:rPr>
                <w:rFonts w:ascii="Times New Roman" w:hAnsi="Times New Roman"/>
                <w:sz w:val="20"/>
              </w:rPr>
              <w:t>Mandat Dr. Rotbruch — Vertragsprüfung</w:t>
            </w:r>
          </w:p>
        </w:tc>
      </w:tr>
      <w:tr>
        <w:tc>
          <w:tcPr>
            <w:tcW w:type="dxa" w:w="4536"/>
          </w:tcPr>
          <w:p>
            <w:r>
              <w:rPr>
                <w:rFonts w:ascii="Times New Roman" w:hAnsi="Times New Roman"/>
                <w:sz w:val="20"/>
              </w:rPr>
              <w:t>3.02.2025</w:t>
            </w:r>
          </w:p>
        </w:tc>
        <w:tc>
          <w:tcPr>
            <w:tcW w:type="dxa" w:w="4536"/>
          </w:tcPr>
          <w:p>
            <w:r>
              <w:rPr>
                <w:rFonts w:ascii="Times New Roman" w:hAnsi="Times New Roman"/>
                <w:sz w:val="20"/>
              </w:rPr>
              <w:t>Einreichung Scheidungsantrag</w:t>
            </w:r>
          </w:p>
        </w:tc>
      </w:tr>
      <w:tr>
        <w:tc>
          <w:tcPr>
            <w:tcW w:type="dxa" w:w="4536"/>
          </w:tcPr>
          <w:p>
            <w:r>
              <w:rPr>
                <w:rFonts w:ascii="Times New Roman" w:hAnsi="Times New Roman"/>
                <w:sz w:val="20"/>
              </w:rPr>
              <w:t>18.01.2026</w:t>
            </w:r>
          </w:p>
        </w:tc>
        <w:tc>
          <w:tcPr>
            <w:tcW w:type="dxa" w:w="4536"/>
          </w:tcPr>
          <w:p>
            <w:r>
              <w:rPr>
                <w:rFonts w:ascii="Times New Roman" w:hAnsi="Times New Roman"/>
                <w:sz w:val="20"/>
              </w:rPr>
              <w:t>Scheidung rechtskräftig; Ehevertrag teilweise unwirksam (§ 138 BGB)</w:t>
            </w:r>
          </w:p>
        </w:tc>
      </w:tr>
      <w:tr>
        <w:tc>
          <w:tcPr>
            <w:tcW w:type="dxa" w:w="4536"/>
          </w:tcPr>
          <w:p>
            <w:r>
              <w:rPr>
                <w:rFonts w:ascii="Times New Roman" w:hAnsi="Times New Roman"/>
                <w:sz w:val="20"/>
              </w:rPr>
              <w:t>5.02.2026</w:t>
            </w:r>
          </w:p>
        </w:tc>
        <w:tc>
          <w:tcPr>
            <w:tcW w:type="dxa" w:w="4536"/>
          </w:tcPr>
          <w:p>
            <w:r>
              <w:rPr>
                <w:rFonts w:ascii="Times New Roman" w:hAnsi="Times New Roman"/>
                <w:sz w:val="20"/>
              </w:rPr>
              <w:t>Klageschrift RAin Dr. Wiesmann beim LG Köln</w:t>
            </w:r>
          </w:p>
        </w:tc>
      </w:tr>
      <w:tr>
        <w:tc>
          <w:tcPr>
            <w:tcW w:type="dxa" w:w="4536"/>
          </w:tcPr>
          <w:p>
            <w:r>
              <w:rPr>
                <w:rFonts w:ascii="Times New Roman" w:hAnsi="Times New Roman"/>
                <w:sz w:val="20"/>
              </w:rPr>
              <w:t>18.02.2026</w:t>
            </w:r>
          </w:p>
        </w:tc>
        <w:tc>
          <w:tcPr>
            <w:tcW w:type="dxa" w:w="4536"/>
          </w:tcPr>
          <w:p>
            <w:r>
              <w:rPr>
                <w:rFonts w:ascii="Times New Roman" w:hAnsi="Times New Roman"/>
                <w:sz w:val="20"/>
              </w:rPr>
              <w:t>Az. LG Köln 2 O 188/26 zugeteilt</w:t>
            </w:r>
          </w:p>
        </w:tc>
      </w:tr>
      <w:tr>
        <w:tc>
          <w:tcPr>
            <w:tcW w:type="dxa" w:w="4536"/>
          </w:tcPr>
          <w:p>
            <w:r>
              <w:rPr>
                <w:rFonts w:ascii="Times New Roman" w:hAnsi="Times New Roman"/>
                <w:sz w:val="20"/>
              </w:rPr>
              <w:t>25.02.2026</w:t>
            </w:r>
          </w:p>
        </w:tc>
        <w:tc>
          <w:tcPr>
            <w:tcW w:type="dxa" w:w="4536"/>
          </w:tcPr>
          <w:p>
            <w:r>
              <w:rPr>
                <w:rFonts w:ascii="Times New Roman" w:hAnsi="Times New Roman"/>
                <w:sz w:val="20"/>
              </w:rPr>
              <w:t>Zustellung Klageschrift an Dr. Rotbruch</w:t>
            </w:r>
          </w:p>
        </w:tc>
      </w:tr>
      <w:tr>
        <w:tc>
          <w:tcPr>
            <w:tcW w:type="dxa" w:w="4536"/>
          </w:tcPr>
          <w:p>
            <w:r>
              <w:rPr>
                <w:rFonts w:ascii="Times New Roman" w:hAnsi="Times New Roman"/>
                <w:sz w:val="20"/>
              </w:rPr>
              <w:t>10.03.2026</w:t>
            </w:r>
          </w:p>
        </w:tc>
        <w:tc>
          <w:tcPr>
            <w:tcW w:type="dxa" w:w="4536"/>
          </w:tcPr>
          <w:p>
            <w:r>
              <w:rPr>
                <w:rFonts w:ascii="Times New Roman" w:hAnsi="Times New Roman"/>
                <w:sz w:val="20"/>
              </w:rPr>
              <w:t>Klageerwiderung (Frist verlängert bis 10.04.2026)</w:t>
            </w:r>
          </w:p>
        </w:tc>
      </w:tr>
      <w:tr>
        <w:tc>
          <w:tcPr>
            <w:tcW w:type="dxa" w:w="4536"/>
          </w:tcPr>
          <w:p>
            <w:r>
              <w:rPr>
                <w:rFonts w:ascii="Times New Roman" w:hAnsi="Times New Roman"/>
                <w:sz w:val="20"/>
              </w:rPr>
              <w:t>10.04.2026</w:t>
            </w:r>
          </w:p>
        </w:tc>
        <w:tc>
          <w:tcPr>
            <w:tcW w:type="dxa" w:w="4536"/>
          </w:tcPr>
          <w:p>
            <w:r>
              <w:rPr>
                <w:rFonts w:ascii="Times New Roman" w:hAnsi="Times New Roman"/>
                <w:sz w:val="20"/>
              </w:rPr>
              <w:t>Eingang Klageerwiderung beim LG Köln</w:t>
            </w:r>
          </w:p>
        </w:tc>
      </w:tr>
      <w:tr>
        <w:tc>
          <w:tcPr>
            <w:tcW w:type="dxa" w:w="4536"/>
          </w:tcPr>
          <w:p>
            <w:r>
              <w:rPr>
                <w:rFonts w:ascii="Times New Roman" w:hAnsi="Times New Roman"/>
                <w:sz w:val="20"/>
              </w:rPr>
              <w:t>15.05.2026</w:t>
            </w:r>
          </w:p>
        </w:tc>
        <w:tc>
          <w:tcPr>
            <w:tcW w:type="dxa" w:w="4536"/>
          </w:tcPr>
          <w:p>
            <w:r>
              <w:rPr>
                <w:rFonts w:ascii="Times New Roman" w:hAnsi="Times New Roman"/>
                <w:sz w:val="20"/>
              </w:rPr>
              <w:t>Gütetermin LG Köln (geplant)</w:t>
            </w:r>
          </w:p>
        </w:tc>
      </w:tr>
    </w:tbl>
    <w:p>
      <w:pPr>
        <w:jc w:val="left"/>
      </w:pPr>
      <w:r>
        <w:t>Streitwert: 187.000 EUR (Schadensersatz § 280 BGB i.V.m. § 675 BGB).</w:t>
      </w:r>
    </w:p>
    <w:p>
      <w:pPr>
        <w:pStyle w:val="Heading3"/>
      </w:pPr>
      <w:r>
        <w:rPr>
          <w:rFonts w:ascii="Times New Roman" w:hAnsi="Times New Roman"/>
        </w:rPr>
        <w:t>2.2 Berufsrechtliches Verfahren (Rüge RAK Köln)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28.01.2026</w:t>
            </w:r>
          </w:p>
        </w:tc>
        <w:tc>
          <w:tcPr>
            <w:tcW w:type="dxa" w:w="4536"/>
          </w:tcPr>
          <w:p>
            <w:r>
              <w:rPr>
                <w:rFonts w:ascii="Times New Roman" w:hAnsi="Times New Roman"/>
                <w:sz w:val="20"/>
              </w:rPr>
              <w:t>Beschwerde Frau Habernau bei RAK Köln</w:t>
            </w:r>
          </w:p>
        </w:tc>
      </w:tr>
      <w:tr>
        <w:tc>
          <w:tcPr>
            <w:tcW w:type="dxa" w:w="4536"/>
          </w:tcPr>
          <w:p>
            <w:r>
              <w:rPr>
                <w:rFonts w:ascii="Times New Roman" w:hAnsi="Times New Roman"/>
                <w:sz w:val="20"/>
              </w:rPr>
              <w:t>12.02.2026</w:t>
            </w:r>
          </w:p>
        </w:tc>
        <w:tc>
          <w:tcPr>
            <w:tcW w:type="dxa" w:w="4536"/>
          </w:tcPr>
          <w:p>
            <w:r>
              <w:rPr>
                <w:rFonts w:ascii="Times New Roman" w:hAnsi="Times New Roman"/>
                <w:sz w:val="20"/>
              </w:rPr>
              <w:t>Einleitung Rügeverfahren durch Vorstand RAK Köln</w:t>
            </w:r>
          </w:p>
        </w:tc>
      </w:tr>
      <w:tr>
        <w:tc>
          <w:tcPr>
            <w:tcW w:type="dxa" w:w="4536"/>
          </w:tcPr>
          <w:p>
            <w:r>
              <w:rPr>
                <w:rFonts w:ascii="Times New Roman" w:hAnsi="Times New Roman"/>
                <w:sz w:val="20"/>
              </w:rPr>
              <w:t>28.02.2026</w:t>
            </w:r>
          </w:p>
        </w:tc>
        <w:tc>
          <w:tcPr>
            <w:tcW w:type="dxa" w:w="4536"/>
          </w:tcPr>
          <w:p>
            <w:r>
              <w:rPr>
                <w:rFonts w:ascii="Times New Roman" w:hAnsi="Times New Roman"/>
                <w:sz w:val="20"/>
              </w:rPr>
              <w:t>Anhörungsschreiben RAK Köln an Dr. Rotbruch</w:t>
            </w:r>
          </w:p>
        </w:tc>
      </w:tr>
      <w:tr>
        <w:tc>
          <w:tcPr>
            <w:tcW w:type="dxa" w:w="4536"/>
          </w:tcPr>
          <w:p>
            <w:r>
              <w:rPr>
                <w:rFonts w:ascii="Times New Roman" w:hAnsi="Times New Roman"/>
                <w:sz w:val="20"/>
              </w:rPr>
              <w:t>15.03.2026</w:t>
            </w:r>
          </w:p>
        </w:tc>
        <w:tc>
          <w:tcPr>
            <w:tcW w:type="dxa" w:w="4536"/>
          </w:tcPr>
          <w:p>
            <w:r>
              <w:rPr>
                <w:rFonts w:ascii="Times New Roman" w:hAnsi="Times New Roman"/>
                <w:sz w:val="20"/>
              </w:rPr>
              <w:t>Stellungnahme Dr. Rotbruch</w:t>
            </w:r>
          </w:p>
        </w:tc>
      </w:tr>
      <w:tr>
        <w:tc>
          <w:tcPr>
            <w:tcW w:type="dxa" w:w="4536"/>
          </w:tcPr>
          <w:p>
            <w:r>
              <w:rPr>
                <w:rFonts w:ascii="Times New Roman" w:hAnsi="Times New Roman"/>
                <w:sz w:val="20"/>
              </w:rPr>
              <w:t>28.03.2026</w:t>
            </w:r>
          </w:p>
        </w:tc>
        <w:tc>
          <w:tcPr>
            <w:tcW w:type="dxa" w:w="4536"/>
          </w:tcPr>
          <w:p>
            <w:r>
              <w:rPr>
                <w:rFonts w:ascii="Times New Roman" w:hAnsi="Times New Roman"/>
                <w:sz w:val="20"/>
              </w:rPr>
              <w:t>Weiteres Schreiben RAK Köln — Nachfragen</w:t>
            </w:r>
          </w:p>
        </w:tc>
      </w:tr>
      <w:tr>
        <w:tc>
          <w:tcPr>
            <w:tcW w:type="dxa" w:w="4536"/>
          </w:tcPr>
          <w:p>
            <w:r>
              <w:rPr>
                <w:rFonts w:ascii="Times New Roman" w:hAnsi="Times New Roman"/>
                <w:sz w:val="20"/>
              </w:rPr>
              <w:t>15.04.2026</w:t>
            </w:r>
          </w:p>
        </w:tc>
        <w:tc>
          <w:tcPr>
            <w:tcW w:type="dxa" w:w="4536"/>
          </w:tcPr>
          <w:p>
            <w:r>
              <w:rPr>
                <w:rFonts w:ascii="Times New Roman" w:hAnsi="Times New Roman"/>
                <w:sz w:val="20"/>
              </w:rPr>
              <w:t>Frist Schlusserklärung Dr. Rotbruch</w:t>
            </w:r>
          </w:p>
        </w:tc>
      </w:tr>
    </w:tbl>
    <w:p>
      <w:pPr>
        <w:pStyle w:val="Heading3"/>
      </w:pPr>
      <w:r>
        <w:rPr>
          <w:rFonts w:ascii="Times New Roman" w:hAnsi="Times New Roman"/>
        </w:rPr>
        <w:t>2.3 Datenschutz-Parallelspur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3.02.2026</w:t>
            </w:r>
          </w:p>
        </w:tc>
        <w:tc>
          <w:tcPr>
            <w:tcW w:type="dxa" w:w="4536"/>
          </w:tcPr>
          <w:p>
            <w:r>
              <w:rPr>
                <w:rFonts w:ascii="Times New Roman" w:hAnsi="Times New Roman"/>
                <w:sz w:val="20"/>
              </w:rPr>
              <w:t>Datenschutzbeschwerde Frau Habernau beim LDI NRW</w:t>
            </w:r>
          </w:p>
        </w:tc>
      </w:tr>
      <w:tr>
        <w:tc>
          <w:tcPr>
            <w:tcW w:type="dxa" w:w="4536"/>
          </w:tcPr>
          <w:p>
            <w:r>
              <w:rPr>
                <w:rFonts w:ascii="Times New Roman" w:hAnsi="Times New Roman"/>
                <w:sz w:val="20"/>
              </w:rPr>
              <w:t>20.02.2026</w:t>
            </w:r>
          </w:p>
        </w:tc>
        <w:tc>
          <w:tcPr>
            <w:tcW w:type="dxa" w:w="4536"/>
          </w:tcPr>
          <w:p>
            <w:r>
              <w:rPr>
                <w:rFonts w:ascii="Times New Roman" w:hAnsi="Times New Roman"/>
                <w:sz w:val="20"/>
              </w:rPr>
              <w:t>Eingangsbestätigung LDI NRW, Az. LDI-NRW-2026-0392</w:t>
            </w:r>
          </w:p>
        </w:tc>
      </w:tr>
      <w:tr>
        <w:tc>
          <w:tcPr>
            <w:tcW w:type="dxa" w:w="4536"/>
          </w:tcPr>
          <w:p>
            <w:r>
              <w:rPr>
                <w:rFonts w:ascii="Times New Roman" w:hAnsi="Times New Roman"/>
                <w:sz w:val="20"/>
              </w:rPr>
              <w:t>Offen</w:t>
            </w:r>
          </w:p>
        </w:tc>
        <w:tc>
          <w:tcPr>
            <w:tcW w:type="dxa" w:w="4536"/>
          </w:tcPr>
          <w:p>
            <w:r>
              <w:rPr>
                <w:rFonts w:ascii="Times New Roman" w:hAnsi="Times New Roman"/>
                <w:sz w:val="20"/>
              </w:rPr>
              <w:t>Prüfung läuft (Art. 77 DSGVO)</w:t>
            </w:r>
          </w:p>
        </w:tc>
      </w:tr>
    </w:tbl>
    <w:p/>
    <w:p>
      <w:pPr>
        <w:pStyle w:val="Heading2"/>
      </w:pPr>
      <w:r>
        <w:rPr>
          <w:rFonts w:ascii="Times New Roman" w:hAnsi="Times New Roman"/>
        </w:rPr>
        <w:t>3. Schadensbild (Übersicht)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Entgangener Versorgungsausgleich (kapitalisiert)</w:t>
            </w:r>
          </w:p>
        </w:tc>
        <w:tc>
          <w:tcPr>
            <w:tcW w:type="dxa" w:w="4536"/>
          </w:tcPr>
          <w:p>
            <w:r>
              <w:rPr>
                <w:rFonts w:ascii="Times New Roman" w:hAnsi="Times New Roman"/>
                <w:sz w:val="20"/>
              </w:rPr>
              <w:t>124.000</w:t>
            </w:r>
          </w:p>
        </w:tc>
      </w:tr>
      <w:tr>
        <w:tc>
          <w:tcPr>
            <w:tcW w:type="dxa" w:w="4536"/>
          </w:tcPr>
          <w:p>
            <w:r>
              <w:rPr>
                <w:rFonts w:ascii="Times New Roman" w:hAnsi="Times New Roman"/>
                <w:sz w:val="20"/>
              </w:rPr>
              <w:t>Entgangener Zugewinnausgleich (Differenz wirksam/unwirksam)</w:t>
            </w:r>
          </w:p>
        </w:tc>
        <w:tc>
          <w:tcPr>
            <w:tcW w:type="dxa" w:w="4536"/>
          </w:tcPr>
          <w:p>
            <w:r>
              <w:rPr>
                <w:rFonts w:ascii="Times New Roman" w:hAnsi="Times New Roman"/>
                <w:sz w:val="20"/>
              </w:rPr>
              <w:t>48.000</w:t>
            </w:r>
          </w:p>
        </w:tc>
      </w:tr>
      <w:tr>
        <w:tc>
          <w:tcPr>
            <w:tcW w:type="dxa" w:w="4536"/>
          </w:tcPr>
          <w:p>
            <w:r>
              <w:rPr>
                <w:rFonts w:ascii="Times New Roman" w:hAnsi="Times New Roman"/>
                <w:sz w:val="20"/>
              </w:rPr>
              <w:t>Verfahrenskosten Scheidung (Mehrkosten wegen Unwirksamkeit)</w:t>
            </w:r>
          </w:p>
        </w:tc>
        <w:tc>
          <w:tcPr>
            <w:tcW w:type="dxa" w:w="4536"/>
          </w:tcPr>
          <w:p>
            <w:r>
              <w:rPr>
                <w:rFonts w:ascii="Times New Roman" w:hAnsi="Times New Roman"/>
                <w:sz w:val="20"/>
              </w:rPr>
              <w:t>9.800</w:t>
            </w:r>
          </w:p>
        </w:tc>
      </w:tr>
      <w:tr>
        <w:tc>
          <w:tcPr>
            <w:tcW w:type="dxa" w:w="4536"/>
          </w:tcPr>
          <w:p>
            <w:r>
              <w:rPr>
                <w:rFonts w:ascii="Times New Roman" w:hAnsi="Times New Roman"/>
                <w:sz w:val="20"/>
              </w:rPr>
              <w:t>Sonstige (vorprozessuale Anwaltskosten, Gutachterkosten)</w:t>
            </w:r>
          </w:p>
        </w:tc>
        <w:tc>
          <w:tcPr>
            <w:tcW w:type="dxa" w:w="4536"/>
          </w:tcPr>
          <w:p>
            <w:r>
              <w:rPr>
                <w:rFonts w:ascii="Times New Roman" w:hAnsi="Times New Roman"/>
                <w:sz w:val="20"/>
              </w:rPr>
              <w:t>5.200</w:t>
            </w:r>
          </w:p>
        </w:tc>
      </w:tr>
      <w:tr>
        <w:tc>
          <w:tcPr>
            <w:tcW w:type="dxa" w:w="4536"/>
          </w:tcPr>
          <w:p>
            <w:r>
              <w:rPr>
                <w:rFonts w:ascii="Times New Roman" w:hAnsi="Times New Roman"/>
                <w:b/>
                <w:sz w:val="20"/>
              </w:rPr>
              <w:t>Gesamtklage</w:t>
            </w:r>
          </w:p>
        </w:tc>
        <w:tc>
          <w:tcPr>
            <w:tcW w:type="dxa" w:w="4536"/>
          </w:tcPr>
          <w:p>
            <w:r>
              <w:rPr>
                <w:rFonts w:ascii="Times New Roman" w:hAnsi="Times New Roman"/>
                <w:b/>
                <w:sz w:val="20"/>
              </w:rPr>
              <w:t>187.000</w:t>
            </w:r>
          </w:p>
        </w:tc>
      </w:tr>
    </w:tbl>
    <w:p>
      <w:pPr>
        <w:jc w:val="left"/>
      </w:pPr>
      <w:r>
        <w:t xml:space="preserve">Die Berechnung ist in Aktenstück 03 und im XLSX </w:t>
      </w:r>
      <w:r>
        <w:t>haftungsrechnung_habernau_versorgungsausgleich.xlsx</w:t>
      </w:r>
      <w:r>
        <w:t xml:space="preserve"> im Detail dargestellt.</w:t>
      </w:r>
    </w:p>
    <w:p/>
    <w:p>
      <w:pPr>
        <w:pStyle w:val="Heading2"/>
      </w:pPr>
      <w:r>
        <w:rPr>
          <w:rFonts w:ascii="Times New Roman" w:hAnsi="Times New Roman"/>
        </w:rPr>
        <w:t>4. Rechtliche Verfahrensrahmen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Verfahren</w:t>
            </w:r>
          </w:p>
        </w:tc>
        <w:tc>
          <w:tcPr>
            <w:tcW w:type="dxa" w:w="3024"/>
          </w:tcPr>
          <w:p>
            <w:r>
              <w:rPr>
                <w:rFonts w:ascii="Times New Roman" w:hAnsi="Times New Roman"/>
                <w:b/>
                <w:sz w:val="20"/>
              </w:rPr>
              <w:t>Rechtsgrundlage</w:t>
            </w:r>
          </w:p>
        </w:tc>
        <w:tc>
          <w:tcPr>
            <w:tcW w:type="dxa" w:w="3024"/>
          </w:tcPr>
          <w:p>
            <w:r>
              <w:rPr>
                <w:rFonts w:ascii="Times New Roman" w:hAnsi="Times New Roman"/>
                <w:b/>
                <w:sz w:val="20"/>
              </w:rPr>
              <w:t>Sanktionsmöglichkeit</w:t>
            </w:r>
          </w:p>
        </w:tc>
      </w:tr>
      <w:tr>
        <w:tc>
          <w:tcPr>
            <w:tcW w:type="dxa" w:w="3024"/>
          </w:tcPr>
          <w:p>
            <w:r>
              <w:rPr>
                <w:rFonts w:ascii="Times New Roman" w:hAnsi="Times New Roman"/>
                <w:sz w:val="20"/>
              </w:rPr>
              <w:t>Zivilklage Habernau</w:t>
            </w:r>
          </w:p>
        </w:tc>
        <w:tc>
          <w:tcPr>
            <w:tcW w:type="dxa" w:w="3024"/>
          </w:tcPr>
          <w:p>
            <w:r>
              <w:rPr>
                <w:rFonts w:ascii="Times New Roman" w:hAnsi="Times New Roman"/>
                <w:sz w:val="20"/>
              </w:rPr>
              <w:t>§§ 280, 675 BGB</w:t>
            </w:r>
          </w:p>
        </w:tc>
        <w:tc>
          <w:tcPr>
            <w:tcW w:type="dxa" w:w="3024"/>
          </w:tcPr>
          <w:p>
            <w:r>
              <w:rPr>
                <w:rFonts w:ascii="Times New Roman" w:hAnsi="Times New Roman"/>
                <w:sz w:val="20"/>
              </w:rPr>
              <w:t>Schadensersatz 187.000 EUR</w:t>
            </w:r>
          </w:p>
        </w:tc>
      </w:tr>
      <w:tr>
        <w:tc>
          <w:tcPr>
            <w:tcW w:type="dxa" w:w="3024"/>
          </w:tcPr>
          <w:p>
            <w:r>
              <w:rPr>
                <w:rFonts w:ascii="Times New Roman" w:hAnsi="Times New Roman"/>
                <w:sz w:val="20"/>
              </w:rPr>
              <w:t>Rüge RAK Köln</w:t>
            </w:r>
          </w:p>
        </w:tc>
        <w:tc>
          <w:tcPr>
            <w:tcW w:type="dxa" w:w="3024"/>
          </w:tcPr>
          <w:p>
            <w:r>
              <w:rPr>
                <w:rFonts w:ascii="Times New Roman" w:hAnsi="Times New Roman"/>
                <w:sz w:val="20"/>
              </w:rPr>
              <w:t>§ 73 Abs. 2 Nr. 4 BRAO</w:t>
            </w:r>
          </w:p>
        </w:tc>
        <w:tc>
          <w:tcPr>
            <w:tcW w:type="dxa" w:w="3024"/>
          </w:tcPr>
          <w:p>
            <w:r>
              <w:rPr>
                <w:rFonts w:ascii="Times New Roman" w:hAnsi="Times New Roman"/>
                <w:sz w:val="20"/>
              </w:rPr>
              <w:t>Rüge (§ 74 BRAO) oder Verweis an Anwaltsgericht</w:t>
            </w:r>
          </w:p>
        </w:tc>
      </w:tr>
      <w:tr>
        <w:tc>
          <w:tcPr>
            <w:tcW w:type="dxa" w:w="3024"/>
          </w:tcPr>
          <w:p>
            <w:r>
              <w:rPr>
                <w:rFonts w:ascii="Times New Roman" w:hAnsi="Times New Roman"/>
                <w:sz w:val="20"/>
              </w:rPr>
              <w:t>Anwaltsgericht</w:t>
            </w:r>
          </w:p>
        </w:tc>
        <w:tc>
          <w:tcPr>
            <w:tcW w:type="dxa" w:w="3024"/>
          </w:tcPr>
          <w:p>
            <w:r>
              <w:rPr>
                <w:rFonts w:ascii="Times New Roman" w:hAnsi="Times New Roman"/>
                <w:sz w:val="20"/>
              </w:rPr>
              <w:t>§§ 113 ff. BRAO</w:t>
            </w:r>
          </w:p>
        </w:tc>
        <w:tc>
          <w:tcPr>
            <w:tcW w:type="dxa" w:w="3024"/>
          </w:tcPr>
          <w:p>
            <w:r>
              <w:rPr>
                <w:rFonts w:ascii="Times New Roman" w:hAnsi="Times New Roman"/>
                <w:sz w:val="20"/>
              </w:rPr>
              <w:t>Warnung, Geldbuße bis 25.000 EUR, Berufsverbot</w:t>
            </w:r>
          </w:p>
        </w:tc>
      </w:tr>
      <w:tr>
        <w:tc>
          <w:tcPr>
            <w:tcW w:type="dxa" w:w="3024"/>
          </w:tcPr>
          <w:p>
            <w:r>
              <w:rPr>
                <w:rFonts w:ascii="Times New Roman" w:hAnsi="Times New Roman"/>
                <w:sz w:val="20"/>
              </w:rPr>
              <w:t>Datenschutz LDI NRW</w:t>
            </w:r>
          </w:p>
        </w:tc>
        <w:tc>
          <w:tcPr>
            <w:tcW w:type="dxa" w:w="3024"/>
          </w:tcPr>
          <w:p>
            <w:r>
              <w:rPr>
                <w:rFonts w:ascii="Times New Roman" w:hAnsi="Times New Roman"/>
                <w:sz w:val="20"/>
              </w:rPr>
              <w:t>Art. 77, 83 DSGVO</w:t>
            </w:r>
          </w:p>
        </w:tc>
        <w:tc>
          <w:tcPr>
            <w:tcW w:type="dxa" w:w="3024"/>
          </w:tcPr>
          <w:p>
            <w:r>
              <w:rPr>
                <w:rFonts w:ascii="Times New Roman" w:hAnsi="Times New Roman"/>
                <w:sz w:val="20"/>
              </w:rPr>
              <w:t>Bußgeld bis 20 Mio. EUR / 4 % Jahresumsatz</w:t>
            </w:r>
          </w:p>
        </w:tc>
      </w:tr>
      <w:tr>
        <w:tc>
          <w:tcPr>
            <w:tcW w:type="dxa" w:w="3024"/>
          </w:tcPr>
          <w:p>
            <w:r>
              <w:rPr>
                <w:rFonts w:ascii="Times New Roman" w:hAnsi="Times New Roman"/>
                <w:sz w:val="20"/>
              </w:rPr>
              <w:t>KI-VO (EU AI Act)</w:t>
            </w:r>
          </w:p>
        </w:tc>
        <w:tc>
          <w:tcPr>
            <w:tcW w:type="dxa" w:w="3024"/>
          </w:tcPr>
          <w:p>
            <w:r>
              <w:rPr>
                <w:rFonts w:ascii="Times New Roman" w:hAnsi="Times New Roman"/>
                <w:sz w:val="20"/>
              </w:rPr>
              <w:t>Art. 6, 16 KI-VO</w:t>
            </w:r>
          </w:p>
        </w:tc>
        <w:tc>
          <w:tcPr>
            <w:tcW w:type="dxa" w:w="3024"/>
          </w:tcPr>
          <w:p>
            <w:r>
              <w:rPr>
                <w:rFonts w:ascii="Times New Roman" w:hAnsi="Times New Roman"/>
                <w:sz w:val="20"/>
              </w:rPr>
              <w:t>Ggf. Marktaufsichtsmaßnahmen gegen Anbieter</w:t>
            </w:r>
          </w:p>
        </w:tc>
      </w:tr>
    </w:tbl>
    <w:p/>
    <w:p>
      <w:pPr>
        <w:jc w:val="left"/>
      </w:pPr>
      <w:r>
        <w:rPr>
          <w:b/>
        </w:rPr>
        <w:t>Quellen:</w:t>
      </w:r>
    </w:p>
    <w:p>
      <w:pPr>
        <w:pStyle w:val="ListBullet"/>
      </w:pPr>
      <w:r>
        <w:t>§ 73 BRAO (dejure.org)</w:t>
      </w:r>
    </w:p>
    <w:p>
      <w:pPr>
        <w:pStyle w:val="ListBullet"/>
      </w:pPr>
      <w:r>
        <w:t>§ 74 BRAO (dejure.org)</w:t>
      </w:r>
    </w:p>
    <w:p>
      <w:pPr>
        <w:pStyle w:val="ListBullet"/>
      </w:pPr>
      <w:r>
        <w:t>§§ 113 ff. BRAO (dejure.org)</w:t>
      </w:r>
    </w:p>
    <w:p>
      <w:pPr>
        <w:pStyle w:val="ListBullet"/>
      </w:pPr>
      <w:r>
        <w:t>§§ 280, 675 BGB (dejure.org)</w:t>
      </w:r>
    </w:p>
    <w:p>
      <w:pPr>
        <w:pStyle w:val="ListBullet"/>
      </w:pPr>
      <w:r>
        <w:t>Art. 77 DSGVO (EUR-Lex)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