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Haftungsklage Habernau — LG Köln 2 O 188/26</w:t>
      </w:r>
    </w:p>
    <w:p>
      <w:pPr>
        <w:jc w:val="left"/>
      </w:pPr>
      <w:r>
        <w:rPr>
          <w:b/>
        </w:rPr>
        <w:t>Akte:</w:t>
      </w:r>
      <w:r>
        <w:t xml:space="preserve"> Berufsrecht / KI-Vertragsprüfung — Kanzlei Rotbruch, Köln</w:t>
      </w:r>
    </w:p>
    <w:p>
      <w:pPr>
        <w:jc w:val="left"/>
      </w:pPr>
      <w:r>
        <w:rPr>
          <w:b/>
        </w:rPr>
        <w:t>Aktenzeichen:</w:t>
      </w:r>
      <w:r>
        <w:t xml:space="preserve"> LG Köln 2 O 188/26</w:t>
      </w:r>
    </w:p>
    <w:p>
      <w:pPr>
        <w:jc w:val="left"/>
      </w:pPr>
      <w:r>
        <w:rPr>
          <w:b/>
        </w:rPr>
        <w:t>Stichtag Aktenstück:</w:t>
      </w:r>
      <w:r>
        <w:t xml:space="preserve"> 15. April 2026</w:t>
      </w:r>
    </w:p>
    <w:p/>
    <w:p>
      <w:pPr>
        <w:pStyle w:val="Heading2"/>
      </w:pPr>
      <w:r>
        <w:rPr>
          <w:rFonts w:ascii="Times New Roman" w:hAnsi="Times New Roman"/>
        </w:rPr>
        <w:t>1. Sachverhalt der Klage</w:t>
      </w:r>
    </w:p>
    <w:p>
      <w:pPr>
        <w:jc w:val="left"/>
      </w:pPr>
      <w:r>
        <w:t>Klägerin Ulrike Habernau beauftragte RA Dr. Friedhelm Rotbruch im März 2022 mit der rechtlichen Prüfung eines Ehevertrags, den ihr damaliger Verlobter Hans-Dieter Habernau — vertreten durch RA Falkner — vorgelegt hatte. Der Ehevertrag enthielt drei wesentliche Ausschlussklauseln:</w:t>
      </w:r>
    </w:p>
    <w:p>
      <w:pPr>
        <w:pStyle w:val="ListNumber"/>
      </w:pPr>
      <w:r>
        <w:rPr>
          <w:b/>
        </w:rPr>
        <w:t>Zugewinnausschluss:</w:t>
      </w:r>
      <w:r>
        <w:t xml:space="preserve"> Vollständiger Ausschluss des Zugewinnausgleichs nach §§ 1363 ff. BGB; Gütertrennung.</w:t>
      </w:r>
    </w:p>
    <w:p>
      <w:pPr>
        <w:pStyle w:val="ListNumber"/>
      </w:pPr>
      <w:r>
        <w:rPr>
          <w:b/>
        </w:rPr>
        <w:t>Globalverzicht Versorgungsausgleich:</w:t>
      </w:r>
      <w:r>
        <w:t xml:space="preserve"> Vollständiger gegenseitiger Verzicht auf den Versorgungsausgleich nach § 6 VersAusglG.</w:t>
      </w:r>
    </w:p>
    <w:p>
      <w:pPr>
        <w:pStyle w:val="ListNumber"/>
      </w:pPr>
      <w:r>
        <w:rPr>
          <w:b/>
        </w:rPr>
        <w:t>Unterhaltsverzicht:</w:t>
      </w:r>
      <w:r>
        <w:t xml:space="preserve"> Gegenseitiger Verzicht auf nachehelichen Unterhalt (§§ 1569 ff. BGB), ohne jede Sicherungsklausel für Krankheit oder Kindererziehungszeiten.</w:t>
      </w:r>
    </w:p>
    <w:p>
      <w:pPr>
        <w:jc w:val="left"/>
      </w:pPr>
      <w:r>
        <w:t>Dr. Rotbruch prüfte den Ehevertrag mithilfe des KI-Tools JuristAssist Pro 5 und übersandte das KI-generierte Ergebnis — bereinigt um einen KI-eigenen Warnhinweis — als anwaltliche Prüfung an die Mandantin. Eine eigenverantwortliche Sittenwidrigkeitsprüfung nach § 138 BGB und nach der BGH-Rechtsprechung zur Kernbereichstheorie (BGH XII ZR 157/99, BGH XII ZR 65/03, BGH XII ZR 75/22) fand nicht statt.</w:t>
      </w:r>
    </w:p>
    <w:p>
      <w:pPr>
        <w:jc w:val="left"/>
      </w:pPr>
      <w:r>
        <w:t>Der Ehevertrag wurde am 28. April 2022 notariell beurkundet. Im Scheidungsverfahren 2025/2026 rügte RAin Dr. Wiesmann die Unwirksamkeit des Vertrags nach § 138 BGB wegen Sittenwidrigkeit infolge einer einseitigen, existenzgefährdenden Gesamtbelastung.</w:t>
      </w:r>
    </w:p>
    <w:p>
      <w:pPr>
        <w:jc w:val="left"/>
      </w:pPr>
      <w:r>
        <w:t>Das Amtsgericht Köln — Familiengericht — stellte mit Beschluss vom 3. Dezember 2025 (Az. 302 F 1147/25) die Unwirksamkeit des Globalverzichts auf den Versorgungsausgleich fest und ordnete die Durchführung des Versorgungsausgleichs nach §§ 9 ff. VersAusglG an. Der Zugewinnausschluss blieb wirksam, der Unterhaltsverzicht wurde teilweise — für die Zeit der Kindererziehung — für unwirksam erklärt.</w:t>
      </w:r>
    </w:p>
    <w:p>
      <w:pPr>
        <w:pStyle w:val="Heading2"/>
      </w:pPr>
      <w:r>
        <w:rPr>
          <w:rFonts w:ascii="Times New Roman" w:hAnsi="Times New Roman"/>
        </w:rPr>
        <w:t>2. Rechtliche Grundlage der Klage</w:t>
      </w:r>
    </w:p>
    <w:p>
      <w:pPr>
        <w:pStyle w:val="Heading3"/>
      </w:pPr>
      <w:r>
        <w:rPr>
          <w:rFonts w:ascii="Times New Roman" w:hAnsi="Times New Roman"/>
        </w:rPr>
        <w:t>2.1 Anwaltsvertrag und Hauptleistungspflicht (§ 675 BGB)</w:t>
      </w:r>
    </w:p>
    <w:p>
      <w:pPr>
        <w:jc w:val="left"/>
      </w:pPr>
      <w:r>
        <w:t>Zwischen Frau Habernau und Dr. Rotbruch bestand ein Geschäftsbesorgungsvertrag i.S.d. § 675 BGB. Die Hauptleistungspflicht des Anwalts umfasste die vollständige und eigenverantwortliche Prüfung des Ehevertrags auf seine rechtliche Wirksamkeit, insbesondere auf Sittenwidrigkeit nach § 138 BGB.</w:t>
      </w:r>
    </w:p>
    <w:p>
      <w:pPr>
        <w:jc w:val="left"/>
      </w:pPr>
      <w:r>
        <w:t>Der BGH hat in ständiger Rechtsprechung (zuletzt BGH, Urt. v. 21. April 2021, IX ZR 89/20, openjur.de) ausgeführt, dass der Anwalt alle Rechtsfragen, die für den Mandanten erheblich sind, auch ohne ausdrücklichen Auftrag zu prüfen und den Mandanten über relevante Risiken zu belehren hat.</w:t>
      </w:r>
    </w:p>
    <w:p>
      <w:pPr>
        <w:pStyle w:val="Heading3"/>
      </w:pPr>
      <w:r>
        <w:rPr>
          <w:rFonts w:ascii="Times New Roman" w:hAnsi="Times New Roman"/>
        </w:rPr>
        <w:t>2.2 Pflichtverletzung (§ 280 Abs. 1 BGB)</w:t>
      </w:r>
    </w:p>
    <w:p>
      <w:pPr>
        <w:jc w:val="left"/>
      </w:pPr>
      <w:r>
        <w:t>Die Klägerin macht folgende Pflichtverletzungen geltend:</w:t>
      </w:r>
    </w:p>
    <w:p>
      <w:pPr>
        <w:jc w:val="left"/>
      </w:pPr>
      <w:r>
        <w:rPr>
          <w:b/>
        </w:rPr>
        <w:t>a) Keine Sittenwidrigkeitsprüfung:</w:t>
      </w:r>
      <w:r>
        <w:t xml:space="preserve"> Dr. Rotbruch hat die Kombination von Globalverzicht Versorgungsausgleich, vollständigem Zugewinnausschluss und Unterhaltsverzicht nicht nach dem Maßstab der BGH-Kernbereichstheorie (XII ZR 65/03; XII ZR 75/22) geprüft. Nach dieser Rechtsprechung führt die kumulative Abbedingung aller drei Schutzmechanismen in aller Regel zur Sittenwidrigkeit, wenn sie auf einer deutlichen wirtschaftlichen Ungleichgewichtslage beruht.</w:t>
      </w:r>
    </w:p>
    <w:p>
      <w:pPr>
        <w:jc w:val="left"/>
      </w:pPr>
      <w:r>
        <w:rPr>
          <w:b/>
        </w:rPr>
        <w:t>b) Unrevidierter KI-Output:</w:t>
      </w:r>
      <w:r>
        <w:t xml:space="preserve"> Das an die Mandantin übersandte Dokument war im Wesentlichen der ungeänderte KI-Output. Indem Dr. Rotbruch den KI-eigenen Warnhinweis entfernte, täuschte er die Mandantin über den Charakter der Analyse.</w:t>
      </w:r>
    </w:p>
    <w:p>
      <w:pPr>
        <w:jc w:val="left"/>
      </w:pPr>
      <w:r>
        <w:rPr>
          <w:b/>
        </w:rPr>
        <w:t>c) Keine Belehrung:</w:t>
      </w:r>
      <w:r>
        <w:t xml:space="preserve"> Frau Habernau wurde nicht darüber aufgeklärt, dass der Ehevertrag in dieser Gestalt erhebliche Unwirksamkeitsrisiken trägt.</w:t>
      </w:r>
    </w:p>
    <w:p>
      <w:pPr>
        <w:pStyle w:val="Heading3"/>
      </w:pPr>
      <w:r>
        <w:rPr>
          <w:rFonts w:ascii="Times New Roman" w:hAnsi="Times New Roman"/>
        </w:rPr>
        <w:t>2.3 Kausalität</w:t>
      </w:r>
    </w:p>
    <w:p>
      <w:pPr>
        <w:jc w:val="left"/>
      </w:pPr>
      <w:r>
        <w:t>Hätte Dr. Rotbruch die Sittenwidrigkeitsprüfung ordnungsgemäß durchgeführt und die Mandantin belehrt, so hätte Frau Habernau den Ehevertrag in dieser Gestalt nicht geschlossen oder auf Nachverhandlungen bestanden. Das ergibt sich aus dem allgemeinen Anscheinsbeweis anwaltspflichtgemäßen Verhaltens (BGH, Urt. v. 13. März 2008, IX ZR 136/07).</w:t>
      </w:r>
    </w:p>
    <w:p>
      <w:pPr>
        <w:pStyle w:val="Heading3"/>
      </w:pPr>
      <w:r>
        <w:rPr>
          <w:rFonts w:ascii="Times New Roman" w:hAnsi="Times New Roman"/>
        </w:rPr>
        <w:t>2.4 Schaden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Schadensposition</w:t>
            </w:r>
          </w:p>
        </w:tc>
        <w:tc>
          <w:tcPr>
            <w:tcW w:type="dxa" w:w="3024"/>
          </w:tcPr>
          <w:p>
            <w:r>
              <w:rPr>
                <w:rFonts w:ascii="Times New Roman" w:hAnsi="Times New Roman"/>
                <w:b/>
                <w:sz w:val="20"/>
              </w:rPr>
              <w:t>Berechnung</w:t>
            </w:r>
          </w:p>
        </w:tc>
        <w:tc>
          <w:tcPr>
            <w:tcW w:type="dxa" w:w="3024"/>
          </w:tcPr>
          <w:p>
            <w:r>
              <w:rPr>
                <w:rFonts w:ascii="Times New Roman" w:hAnsi="Times New Roman"/>
                <w:b/>
                <w:sz w:val="20"/>
              </w:rPr>
              <w:t>Betrag (EUR)</w:t>
            </w:r>
          </w:p>
        </w:tc>
      </w:tr>
      <w:tr>
        <w:tc>
          <w:tcPr>
            <w:tcW w:type="dxa" w:w="3024"/>
          </w:tcPr>
          <w:p>
            <w:r>
              <w:rPr>
                <w:rFonts w:ascii="Times New Roman" w:hAnsi="Times New Roman"/>
                <w:sz w:val="20"/>
              </w:rPr>
              <w:t>Entgangener Versorgungsausgleich</w:t>
            </w:r>
          </w:p>
        </w:tc>
        <w:tc>
          <w:tcPr>
            <w:tcW w:type="dxa" w:w="3024"/>
          </w:tcPr>
          <w:p>
            <w:r>
              <w:rPr>
                <w:rFonts w:ascii="Times New Roman" w:hAnsi="Times New Roman"/>
                <w:sz w:val="20"/>
              </w:rPr>
              <w:t>Diff. Rentenanwartschaft × Barwertfaktor (Tabelle 9 VersAusglG, 20 J.)</w:t>
            </w:r>
          </w:p>
        </w:tc>
        <w:tc>
          <w:tcPr>
            <w:tcW w:type="dxa" w:w="3024"/>
          </w:tcPr>
          <w:p>
            <w:r>
              <w:rPr>
                <w:rFonts w:ascii="Times New Roman" w:hAnsi="Times New Roman"/>
                <w:sz w:val="20"/>
              </w:rPr>
              <w:t>124.000</w:t>
            </w:r>
          </w:p>
        </w:tc>
      </w:tr>
      <w:tr>
        <w:tc>
          <w:tcPr>
            <w:tcW w:type="dxa" w:w="3024"/>
          </w:tcPr>
          <w:p>
            <w:r>
              <w:rPr>
                <w:rFonts w:ascii="Times New Roman" w:hAnsi="Times New Roman"/>
                <w:sz w:val="20"/>
              </w:rPr>
              <w:t>Entgangener Zugewinnausgleich</w:t>
            </w:r>
          </w:p>
        </w:tc>
        <w:tc>
          <w:tcPr>
            <w:tcW w:type="dxa" w:w="3024"/>
          </w:tcPr>
          <w:p>
            <w:r>
              <w:rPr>
                <w:rFonts w:ascii="Times New Roman" w:hAnsi="Times New Roman"/>
                <w:sz w:val="20"/>
              </w:rPr>
              <w:t>Vgl. Aktenstück 18 (Differenz wirksam/unwirksam)</w:t>
            </w:r>
          </w:p>
        </w:tc>
        <w:tc>
          <w:tcPr>
            <w:tcW w:type="dxa" w:w="3024"/>
          </w:tcPr>
          <w:p>
            <w:r>
              <w:rPr>
                <w:rFonts w:ascii="Times New Roman" w:hAnsi="Times New Roman"/>
                <w:sz w:val="20"/>
              </w:rPr>
              <w:t>48.000</w:t>
            </w:r>
          </w:p>
        </w:tc>
      </w:tr>
      <w:tr>
        <w:tc>
          <w:tcPr>
            <w:tcW w:type="dxa" w:w="3024"/>
          </w:tcPr>
          <w:p>
            <w:r>
              <w:rPr>
                <w:rFonts w:ascii="Times New Roman" w:hAnsi="Times New Roman"/>
                <w:sz w:val="20"/>
              </w:rPr>
              <w:t>Mehrkosten Scheidungsverfahren</w:t>
            </w:r>
          </w:p>
        </w:tc>
        <w:tc>
          <w:tcPr>
            <w:tcW w:type="dxa" w:w="3024"/>
          </w:tcPr>
          <w:p>
            <w:r>
              <w:rPr>
                <w:rFonts w:ascii="Times New Roman" w:hAnsi="Times New Roman"/>
                <w:sz w:val="20"/>
              </w:rPr>
              <w:t>Kosten für Bestreitung der Wirksamkeit im Verbund</w:t>
            </w:r>
          </w:p>
        </w:tc>
        <w:tc>
          <w:tcPr>
            <w:tcW w:type="dxa" w:w="3024"/>
          </w:tcPr>
          <w:p>
            <w:r>
              <w:rPr>
                <w:rFonts w:ascii="Times New Roman" w:hAnsi="Times New Roman"/>
                <w:sz w:val="20"/>
              </w:rPr>
              <w:t>9.800</w:t>
            </w:r>
          </w:p>
        </w:tc>
      </w:tr>
      <w:tr>
        <w:tc>
          <w:tcPr>
            <w:tcW w:type="dxa" w:w="3024"/>
          </w:tcPr>
          <w:p>
            <w:r>
              <w:rPr>
                <w:rFonts w:ascii="Times New Roman" w:hAnsi="Times New Roman"/>
                <w:sz w:val="20"/>
              </w:rPr>
              <w:t>Vorprozessuale Anwaltskosten / Gutachten</w:t>
            </w:r>
          </w:p>
        </w:tc>
        <w:tc>
          <w:tcPr>
            <w:tcW w:type="dxa" w:w="3024"/>
          </w:tcPr>
          <w:p>
            <w:r>
              <w:rPr>
                <w:rFonts w:ascii="Times New Roman" w:hAnsi="Times New Roman"/>
                <w:sz w:val="20"/>
              </w:rPr>
              <w:t>Detailliert lt. Anlage K5 der Klageschrift</w:t>
            </w:r>
          </w:p>
        </w:tc>
        <w:tc>
          <w:tcPr>
            <w:tcW w:type="dxa" w:w="3024"/>
          </w:tcPr>
          <w:p>
            <w:r>
              <w:rPr>
                <w:rFonts w:ascii="Times New Roman" w:hAnsi="Times New Roman"/>
                <w:sz w:val="20"/>
              </w:rPr>
              <w:t>5.200</w:t>
            </w:r>
          </w:p>
        </w:tc>
      </w:tr>
      <w:tr>
        <w:tc>
          <w:tcPr>
            <w:tcW w:type="dxa" w:w="3024"/>
          </w:tcPr>
          <w:p>
            <w:r>
              <w:rPr>
                <w:rFonts w:ascii="Times New Roman" w:hAnsi="Times New Roman"/>
                <w:b/>
                <w:sz w:val="20"/>
              </w:rPr>
              <w:t>Gesamt</w:t>
            </w:r>
          </w:p>
        </w:tc>
        <w:tc>
          <w:tcPr>
            <w:tcW w:type="dxa" w:w="3024"/>
          </w:tcPr>
          <w:p/>
        </w:tc>
        <w:tc>
          <w:tcPr>
            <w:tcW w:type="dxa" w:w="3024"/>
          </w:tcPr>
          <w:p>
            <w:r>
              <w:rPr>
                <w:rFonts w:ascii="Times New Roman" w:hAnsi="Times New Roman"/>
                <w:b/>
                <w:sz w:val="20"/>
              </w:rPr>
              <w:t>187.000</w:t>
            </w:r>
          </w:p>
        </w:tc>
      </w:tr>
    </w:tbl>
    <w:p>
      <w:pPr>
        <w:pStyle w:val="Heading2"/>
      </w:pPr>
      <w:r>
        <w:rPr>
          <w:rFonts w:ascii="Times New Roman" w:hAnsi="Times New Roman"/>
        </w:rPr>
        <w:t>3. Streitpunkte und Verteidigungslinie Rotbruch</w:t>
      </w:r>
    </w:p>
    <w:p>
      <w:pPr>
        <w:pStyle w:val="Heading3"/>
      </w:pPr>
      <w:r>
        <w:rPr>
          <w:rFonts w:ascii="Times New Roman" w:hAnsi="Times New Roman"/>
        </w:rPr>
        <w:t>3.1 Kein Fehler bei der Prüfung</w:t>
      </w:r>
    </w:p>
    <w:p>
      <w:pPr>
        <w:jc w:val="left"/>
      </w:pPr>
      <w:r>
        <w:t>Dr. Rotbruch macht geltend, er habe den Ehevertrag eigenständig geprüft und das KI-Tool lediglich als „Rechercheassistent" eingesetzt. Der KI-Output sei eine erste Orientierung gewesen, die er — soweit möglich — anhand eigener Rechtskenntnisse bewertet habe. Eine vollständige Sittenwidrigkeitsanalyse sei im Honorarrahmen von 3.360 EUR nicht vereinbart gewesen.</w:t>
      </w:r>
    </w:p>
    <w:p>
      <w:pPr>
        <w:pStyle w:val="Heading3"/>
      </w:pPr>
      <w:r>
        <w:rPr>
          <w:rFonts w:ascii="Times New Roman" w:hAnsi="Times New Roman"/>
        </w:rPr>
        <w:t>3.2 Keine Kausalität</w:t>
      </w:r>
    </w:p>
    <w:p>
      <w:pPr>
        <w:jc w:val="left"/>
      </w:pPr>
      <w:r>
        <w:t>Die Mandantin hätte den Ehevertrag auch bei vollständiger Belehrung unterschrieben, da sie unter erheblichem persönlichem Druck gestanden habe (Verlobungsfeier war bereits geplant, Hochzeitsdatum fixiert). Zudem habe der Notar bei der Beurkundung auf die rechtlichen Bedeutung des Vertrags hingewiesen.</w:t>
      </w:r>
    </w:p>
    <w:p>
      <w:pPr>
        <w:pStyle w:val="Heading3"/>
      </w:pPr>
      <w:r>
        <w:rPr>
          <w:rFonts w:ascii="Times New Roman" w:hAnsi="Times New Roman"/>
        </w:rPr>
        <w:t>3.3 Mitverschulden</w:t>
      </w:r>
    </w:p>
    <w:p>
      <w:pPr>
        <w:jc w:val="left"/>
      </w:pPr>
      <w:r>
        <w:t>Frau Habernau habe als Erwachsene die Tragweite eines Verzichts auf Versorgungsausgleich, Zugewinn und Unterhalt erkennen können. Sie sei überdies vom Notar ausführlich belehrt worden (§ 17 BeurkG).</w:t>
      </w:r>
    </w:p>
    <w:p>
      <w:pPr>
        <w:pStyle w:val="Heading3"/>
      </w:pPr>
      <w:r>
        <w:rPr>
          <w:rFonts w:ascii="Times New Roman" w:hAnsi="Times New Roman"/>
        </w:rPr>
        <w:t>3.4 Versicherungsdeckung</w:t>
      </w:r>
    </w:p>
    <w:p>
      <w:pPr>
        <w:jc w:val="left"/>
      </w:pPr>
      <w:r>
        <w:t>Dr. Rotbruch beantragt Einbeziehung der Berufshaftpflichtversicherung (Allianz). Die Allianz hat Deckung vorläufig abgelehnt unter Verweis auf die KI-Ausschlussklausel (§ 4 Nr. 7 AVB Anwaltshaftpflicht 2023). Dazu Aktenstück 10.</w:t>
      </w:r>
    </w:p>
    <w:p>
      <w:pPr>
        <w:pStyle w:val="Heading2"/>
      </w:pPr>
      <w:r>
        <w:rPr>
          <w:rFonts w:ascii="Times New Roman" w:hAnsi="Times New Roman"/>
        </w:rPr>
        <w:t>4. Beweismittel der Klägerin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Beweismittel</w:t>
            </w:r>
          </w:p>
        </w:tc>
        <w:tc>
          <w:tcPr>
            <w:tcW w:type="dxa" w:w="3024"/>
          </w:tcPr>
          <w:p>
            <w:r>
              <w:rPr>
                <w:rFonts w:ascii="Times New Roman" w:hAnsi="Times New Roman"/>
                <w:b/>
                <w:sz w:val="20"/>
              </w:rPr>
              <w:t>Anlage</w:t>
            </w:r>
          </w:p>
        </w:tc>
      </w:tr>
      <w:tr>
        <w:tc>
          <w:tcPr>
            <w:tcW w:type="dxa" w:w="3024"/>
          </w:tcPr>
          <w:p>
            <w:r>
              <w:rPr>
                <w:rFonts w:ascii="Times New Roman" w:hAnsi="Times New Roman"/>
                <w:sz w:val="20"/>
              </w:rPr>
              <w:t>K1</w:t>
            </w:r>
          </w:p>
        </w:tc>
        <w:tc>
          <w:tcPr>
            <w:tcW w:type="dxa" w:w="3024"/>
          </w:tcPr>
          <w:p>
            <w:r>
              <w:rPr>
                <w:rFonts w:ascii="Times New Roman" w:hAnsi="Times New Roman"/>
                <w:sz w:val="20"/>
              </w:rPr>
              <w:t>Mandatsvollmacht 3. März 2022</w:t>
            </w:r>
          </w:p>
        </w:tc>
        <w:tc>
          <w:tcPr>
            <w:tcW w:type="dxa" w:w="3024"/>
          </w:tcPr>
          <w:p>
            <w:r>
              <w:rPr>
                <w:rFonts w:ascii="Times New Roman" w:hAnsi="Times New Roman"/>
                <w:sz w:val="20"/>
              </w:rPr>
              <w:t>In Akte</w:t>
            </w:r>
          </w:p>
        </w:tc>
      </w:tr>
      <w:tr>
        <w:tc>
          <w:tcPr>
            <w:tcW w:type="dxa" w:w="3024"/>
          </w:tcPr>
          <w:p>
            <w:r>
              <w:rPr>
                <w:rFonts w:ascii="Times New Roman" w:hAnsi="Times New Roman"/>
                <w:sz w:val="20"/>
              </w:rPr>
              <w:t>K2</w:t>
            </w:r>
          </w:p>
        </w:tc>
        <w:tc>
          <w:tcPr>
            <w:tcW w:type="dxa" w:w="3024"/>
          </w:tcPr>
          <w:p>
            <w:r>
              <w:rPr>
                <w:rFonts w:ascii="Times New Roman" w:hAnsi="Times New Roman"/>
                <w:sz w:val="20"/>
              </w:rPr>
              <w:t>E-Mail Dr. Rotbruch an Habernau 22. März 2022 mit KI-Output-PDF</w:t>
            </w:r>
          </w:p>
        </w:tc>
        <w:tc>
          <w:tcPr>
            <w:tcW w:type="dxa" w:w="3024"/>
          </w:tcPr>
          <w:p>
            <w:r>
              <w:rPr>
                <w:rFonts w:ascii="Times New Roman" w:hAnsi="Times New Roman"/>
                <w:sz w:val="20"/>
              </w:rPr>
              <w:t>In Akte</w:t>
            </w:r>
          </w:p>
        </w:tc>
      </w:tr>
      <w:tr>
        <w:tc>
          <w:tcPr>
            <w:tcW w:type="dxa" w:w="3024"/>
          </w:tcPr>
          <w:p>
            <w:r>
              <w:rPr>
                <w:rFonts w:ascii="Times New Roman" w:hAnsi="Times New Roman"/>
                <w:sz w:val="20"/>
              </w:rPr>
              <w:t>K3</w:t>
            </w:r>
          </w:p>
        </w:tc>
        <w:tc>
          <w:tcPr>
            <w:tcW w:type="dxa" w:w="3024"/>
          </w:tcPr>
          <w:p>
            <w:r>
              <w:rPr>
                <w:rFonts w:ascii="Times New Roman" w:hAnsi="Times New Roman"/>
                <w:sz w:val="20"/>
              </w:rPr>
              <w:t>Original-KI-Output JuristAssist Pro 5 (inkl. entferntem Warnhinweis)</w:t>
            </w:r>
          </w:p>
        </w:tc>
        <w:tc>
          <w:tcPr>
            <w:tcW w:type="dxa" w:w="3024"/>
          </w:tcPr>
          <w:p>
            <w:r>
              <w:rPr>
                <w:rFonts w:ascii="Times New Roman" w:hAnsi="Times New Roman"/>
                <w:sz w:val="20"/>
              </w:rPr>
              <w:t>In Akte</w:t>
            </w:r>
          </w:p>
        </w:tc>
      </w:tr>
      <w:tr>
        <w:tc>
          <w:tcPr>
            <w:tcW w:type="dxa" w:w="3024"/>
          </w:tcPr>
          <w:p>
            <w:r>
              <w:rPr>
                <w:rFonts w:ascii="Times New Roman" w:hAnsi="Times New Roman"/>
                <w:sz w:val="20"/>
              </w:rPr>
              <w:t>K4</w:t>
            </w:r>
          </w:p>
        </w:tc>
        <w:tc>
          <w:tcPr>
            <w:tcW w:type="dxa" w:w="3024"/>
          </w:tcPr>
          <w:p>
            <w:r>
              <w:rPr>
                <w:rFonts w:ascii="Times New Roman" w:hAnsi="Times New Roman"/>
                <w:sz w:val="20"/>
              </w:rPr>
              <w:t>Ehevertrag vom 28. April 2022 (Notarsurkunde)</w:t>
            </w:r>
          </w:p>
        </w:tc>
        <w:tc>
          <w:tcPr>
            <w:tcW w:type="dxa" w:w="3024"/>
          </w:tcPr>
          <w:p>
            <w:r>
              <w:rPr>
                <w:rFonts w:ascii="Times New Roman" w:hAnsi="Times New Roman"/>
                <w:sz w:val="20"/>
              </w:rPr>
              <w:t>Redacted, s. PDF-Anlage</w:t>
            </w:r>
          </w:p>
        </w:tc>
      </w:tr>
      <w:tr>
        <w:tc>
          <w:tcPr>
            <w:tcW w:type="dxa" w:w="3024"/>
          </w:tcPr>
          <w:p>
            <w:r>
              <w:rPr>
                <w:rFonts w:ascii="Times New Roman" w:hAnsi="Times New Roman"/>
                <w:sz w:val="20"/>
              </w:rPr>
              <w:t>K5</w:t>
            </w:r>
          </w:p>
        </w:tc>
        <w:tc>
          <w:tcPr>
            <w:tcW w:type="dxa" w:w="3024"/>
          </w:tcPr>
          <w:p>
            <w:r>
              <w:rPr>
                <w:rFonts w:ascii="Times New Roman" w:hAnsi="Times New Roman"/>
                <w:sz w:val="20"/>
              </w:rPr>
              <w:t>Beschluss AG Köln 302 F 1147/25 vom 3. Dezember 2025</w:t>
            </w:r>
          </w:p>
        </w:tc>
        <w:tc>
          <w:tcPr>
            <w:tcW w:type="dxa" w:w="3024"/>
          </w:tcPr>
          <w:p>
            <w:r>
              <w:rPr>
                <w:rFonts w:ascii="Times New Roman" w:hAnsi="Times New Roman"/>
                <w:sz w:val="20"/>
              </w:rPr>
              <w:t>In Akte</w:t>
            </w:r>
          </w:p>
        </w:tc>
      </w:tr>
      <w:tr>
        <w:tc>
          <w:tcPr>
            <w:tcW w:type="dxa" w:w="3024"/>
          </w:tcPr>
          <w:p>
            <w:r>
              <w:rPr>
                <w:rFonts w:ascii="Times New Roman" w:hAnsi="Times New Roman"/>
                <w:sz w:val="20"/>
              </w:rPr>
              <w:t>K6</w:t>
            </w:r>
          </w:p>
        </w:tc>
        <w:tc>
          <w:tcPr>
            <w:tcW w:type="dxa" w:w="3024"/>
          </w:tcPr>
          <w:p>
            <w:r>
              <w:rPr>
                <w:rFonts w:ascii="Times New Roman" w:hAnsi="Times New Roman"/>
                <w:sz w:val="20"/>
              </w:rPr>
              <w:t>Versicherungsablehnungsschreiben Allianz</w:t>
            </w:r>
          </w:p>
        </w:tc>
        <w:tc>
          <w:tcPr>
            <w:tcW w:type="dxa" w:w="3024"/>
          </w:tcPr>
          <w:p>
            <w:r>
              <w:rPr>
                <w:rFonts w:ascii="Times New Roman" w:hAnsi="Times New Roman"/>
                <w:sz w:val="20"/>
              </w:rPr>
              <w:t>In Akte</w:t>
            </w:r>
          </w:p>
        </w:tc>
      </w:tr>
      <w:tr>
        <w:tc>
          <w:tcPr>
            <w:tcW w:type="dxa" w:w="3024"/>
          </w:tcPr>
          <w:p>
            <w:r>
              <w:rPr>
                <w:rFonts w:ascii="Times New Roman" w:hAnsi="Times New Roman"/>
                <w:sz w:val="20"/>
              </w:rPr>
              <w:t>K7</w:t>
            </w:r>
          </w:p>
        </w:tc>
        <w:tc>
          <w:tcPr>
            <w:tcW w:type="dxa" w:w="3024"/>
          </w:tcPr>
          <w:p>
            <w:r>
              <w:rPr>
                <w:rFonts w:ascii="Times New Roman" w:hAnsi="Times New Roman"/>
                <w:sz w:val="20"/>
              </w:rPr>
              <w:t>Sachverständigengutachten Prof. Dr. Breuer (Schadensberechnung)</w:t>
            </w:r>
          </w:p>
        </w:tc>
        <w:tc>
          <w:tcPr>
            <w:tcW w:type="dxa" w:w="3024"/>
          </w:tcPr>
          <w:p>
            <w:r>
              <w:rPr>
                <w:rFonts w:ascii="Times New Roman" w:hAnsi="Times New Roman"/>
                <w:sz w:val="20"/>
              </w:rPr>
              <w:t>In Vorbereitung</w:t>
            </w:r>
          </w:p>
        </w:tc>
      </w:tr>
    </w:tbl>
    <w:p>
      <w:pPr>
        <w:pStyle w:val="Heading2"/>
      </w:pPr>
      <w:r>
        <w:rPr>
          <w:rFonts w:ascii="Times New Roman" w:hAnsi="Times New Roman"/>
        </w:rPr>
        <w:t>5. Gütetermin und weiterer Verfahrensstand</w:t>
      </w:r>
    </w:p>
    <w:p>
      <w:pPr>
        <w:jc w:val="left"/>
      </w:pPr>
      <w:r>
        <w:t>Das LG Köln hat Gütetermin auf 15. Mai 2026 terminiert. Die Klägerin ist grundsätzlich zu einem Vergleich bereit bei einer Zahlung von mindestens 130.000 EUR. Dr. Rotbruch hat bisher keine verbindliche Vergleichsbereitschaft signalisiert (Aktenstück 20 zur Vergleichsstrategie).</w:t>
      </w:r>
    </w:p>
    <w:p/>
    <w:p>
      <w:pPr>
        <w:jc w:val="left"/>
      </w:pPr>
      <w:r>
        <w:rPr>
          <w:b/>
        </w:rPr>
        <w:t>Quellen:</w:t>
      </w:r>
    </w:p>
    <w:p>
      <w:pPr>
        <w:pStyle w:val="ListBullet"/>
      </w:pPr>
      <w:r>
        <w:t>§ 280 BGB (dejure.org)</w:t>
      </w:r>
    </w:p>
    <w:p>
      <w:pPr>
        <w:pStyle w:val="ListBullet"/>
      </w:pPr>
      <w:r>
        <w:t>§ 675 BGB (dejure.org)</w:t>
      </w:r>
    </w:p>
    <w:p>
      <w:pPr>
        <w:pStyle w:val="ListBullet"/>
      </w:pPr>
      <w:r>
        <w:t>§ 138 BGB (dejure.org)</w:t>
      </w:r>
    </w:p>
    <w:p>
      <w:pPr>
        <w:pStyle w:val="ListBullet"/>
      </w:pPr>
      <w:r>
        <w:t>BGH XII ZR 75/22 (bundesgerichtshof.de)</w:t>
      </w:r>
    </w:p>
    <w:p>
      <w:pPr>
        <w:pStyle w:val="ListBullet"/>
      </w:pPr>
      <w:r>
        <w:t>§ 6 VersAusglG (dejure.org)</w:t>
      </w:r>
    </w:p>
    <w:p>
      <w:pPr>
        <w:pStyle w:val="ListBullet"/>
      </w:pPr>
      <w:r>
        <w:t>§ 17 BeurkG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