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KI-Einsatz und Kanzleisorgfalt — § 43a BRAO</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Maßstab anwaltlicher Sorgfalt bei KI-Einsatz</w:t>
      </w:r>
    </w:p>
    <w:p>
      <w:pPr>
        <w:jc w:val="left"/>
      </w:pPr>
      <w:r>
        <w:t>Der anwaltliche Berufsstand befindet sich seit 2022 in einem rapiden Transformationsprozess infolge des Aufkommens großer Sprachmodelle und spezialisierter Legal-KI-Produkte. Die Bundesrechtsanwaltskammer (BRAK) hat in ihrer Stellungnahme Nr. 16/2023 grundlegende Sorgfaltsanforderungen für den KI-Einsatz in Kanzleien formuliert. Die BORA und BRAO enthalten keine ausdrücklichen KI-Regelungen, jedoch ergibt sich aus § 43a Abs. 1 BRAO (Pflicht zur gewissenhaften Berufsausübung) und § 43a Abs. 2 BRAO (Verschwiegenheit) ein kohärenter Rahmen.</w:t>
      </w:r>
    </w:p>
    <w:p>
      <w:pPr>
        <w:jc w:val="left"/>
      </w:pPr>
      <w:r>
        <w:t>Die zentralen Sorgfaltspflichten beim KI-Einsatz lassen sich in drei Kategorien gliedern:</w:t>
      </w:r>
    </w:p>
    <w:p>
      <w:pPr>
        <w:pStyle w:val="Heading3"/>
      </w:pPr>
      <w:r>
        <w:rPr>
          <w:rFonts w:ascii="Times New Roman" w:hAnsi="Times New Roman"/>
        </w:rPr>
        <w:t>1.1 Eigenverantwortlichkeit (§ 43a Abs. 1 BRAO)</w:t>
      </w:r>
    </w:p>
    <w:p>
      <w:pPr>
        <w:jc w:val="left"/>
      </w:pPr>
      <w:r>
        <w:t>Der Anwalt muss sicherstellen, dass KI-Outputs eigenverantwortlich geprüft und nicht unverändert an Mandanten weitergeleitet werden. Dies ergibt sich aus dem Grundsatz der persönlichen Leistungserbringung. KI-Tools sind Hilfsmittel; der Anwalt bleibt Urheber und Verantwortlicher für jede gegenüber dem Mandanten abgegebene rechtliche Stellungnahme.</w:t>
      </w:r>
    </w:p>
    <w:p>
      <w:pPr>
        <w:jc w:val="left"/>
      </w:pPr>
      <w:r>
        <w:t>Im Fall Rotbruch: Das KI-generierte Dokument wurde nach Entfernung des Warnhinweises als eigene anwaltliche Prüfung weitergeleitet. Eine eigenverantwortliche Überarbeitung fand nicht statt. Beweis: Vergleich des KI-Outputs mit dem übersandten PDF (Anlage K2 und K3 zur Klageschrift); die textliche Übereinstimmung beträgt nach Analyse von RAin Dr. Wiesmann mehr als 94 Prozent.</w:t>
      </w:r>
    </w:p>
    <w:p>
      <w:pPr>
        <w:pStyle w:val="Heading3"/>
      </w:pPr>
      <w:r>
        <w:rPr>
          <w:rFonts w:ascii="Times New Roman" w:hAnsi="Times New Roman"/>
        </w:rPr>
        <w:t>1.2 Fortbildungspflicht und Technikkompetenz (§ 43a Abs. 6 BRAO)</w:t>
      </w:r>
    </w:p>
    <w:p>
      <w:pPr>
        <w:jc w:val="left"/>
      </w:pPr>
      <w:r>
        <w:t>Wer ein KI-Tool zur Vertragsprüfung einsetzt, muss dessen Funktionsweise, Grenzen und typische Fehlerquellen kennen. Dazu gehört das Wissen, dass aktuelle Large-Language-Model-basierte Systeme (Stand 2022–2024) bei der Erkennung sittenwidriger Vertragsgestaltungen nach deutschen familienrechtlichen Maßstäben — insbesondere der BGH-Kernbereichsdoktrin — strukturell schwach sind, weil diese Prüfung eine Gesamtabwägung im Einzelfall erfordert, die reine Textmustererkennung übersteigt.</w:t>
      </w:r>
    </w:p>
    <w:p>
      <w:pPr>
        <w:jc w:val="left"/>
      </w:pPr>
      <w:r>
        <w:t>Dr. Rotbruch hatte keine nachweisbare Schulung zu JuristAssist Pro 5 absolviert. Die Einarbeitung beschränkte sich auf das Lesen der 4-seitigen Produktbroschüre des Anbieters. Fortbildungsnachweise (§ 15 FAO) zu Legal-Tech-Themen fehlen für den Zeitraum 2021–2022.</w:t>
      </w:r>
    </w:p>
    <w:p>
      <w:pPr>
        <w:pStyle w:val="Heading3"/>
      </w:pPr>
      <w:r>
        <w:rPr>
          <w:rFonts w:ascii="Times New Roman" w:hAnsi="Times New Roman"/>
        </w:rPr>
        <w:t>1.3 Qualitätssicherung im Kanzleibetrieb (§ 43a Abs. 1 BRAO)</w:t>
      </w:r>
    </w:p>
    <w:p>
      <w:pPr>
        <w:jc w:val="left"/>
      </w:pPr>
      <w:r>
        <w:t>Eine Einzelkanzlei ist gehalten, organisatorische Maßnahmen zu treffen, die sicherstellen, dass KI-Output nicht ohne Qualitätsprüfung in die Mandantenkorrespondenz einfließt. In größeren Kanzleien wäre dies durch ein Vier-Augen-Prinzip realisierbar; in einer Einzelkanzlei durch eine klar dokumentierte Prüfcheckliste, die der Anwalt nach KI-Einsatz abzeichnet.</w:t>
      </w:r>
    </w:p>
    <w:p>
      <w:pPr>
        <w:jc w:val="left"/>
      </w:pPr>
      <w:r>
        <w:t xml:space="preserve">Eine solche Checkliste oder Kanzleianweisung existierte bei Dr. Rotbruch nicht. Ein Entwurf für eine entsprechende Richtlinie findet sich im Anhang </w:t>
      </w:r>
      <w:r>
        <w:t>docx/ki_einsatzrichtlinie_kanzlei_template.docx</w:t>
      </w:r>
      <w:r>
        <w:t>.</w:t>
      </w:r>
    </w:p>
    <w:p/>
    <w:p>
      <w:pPr>
        <w:pStyle w:val="Heading2"/>
      </w:pPr>
      <w:r>
        <w:rPr>
          <w:rFonts w:ascii="Times New Roman" w:hAnsi="Times New Roman"/>
        </w:rPr>
        <w:t>2. Bewertung des konkreten KI-Einsatzes</w:t>
      </w:r>
    </w:p>
    <w:p>
      <w:pPr>
        <w:pStyle w:val="Heading3"/>
      </w:pPr>
      <w:r>
        <w:rPr>
          <w:rFonts w:ascii="Times New Roman" w:hAnsi="Times New Roman"/>
        </w:rPr>
        <w:t>2.1 Einsatzszenario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Befund</w:t>
            </w:r>
          </w:p>
        </w:tc>
      </w:tr>
      <w:tr>
        <w:tc>
          <w:tcPr>
            <w:tcW w:type="dxa" w:w="4536"/>
          </w:tcPr>
          <w:p>
            <w:r>
              <w:rPr>
                <w:rFonts w:ascii="Times New Roman" w:hAnsi="Times New Roman"/>
                <w:sz w:val="20"/>
              </w:rPr>
              <w:t>Tool</w:t>
            </w:r>
          </w:p>
        </w:tc>
        <w:tc>
          <w:tcPr>
            <w:tcW w:type="dxa" w:w="4536"/>
          </w:tcPr>
          <w:p>
            <w:r>
              <w:rPr>
                <w:rFonts w:ascii="Times New Roman" w:hAnsi="Times New Roman"/>
                <w:sz w:val="20"/>
              </w:rPr>
              <w:t>JuristAssist Pro 5 (LegalTech GmbH Hamburg)</w:t>
            </w:r>
          </w:p>
        </w:tc>
      </w:tr>
      <w:tr>
        <w:tc>
          <w:tcPr>
            <w:tcW w:type="dxa" w:w="4536"/>
          </w:tcPr>
          <w:p>
            <w:r>
              <w:rPr>
                <w:rFonts w:ascii="Times New Roman" w:hAnsi="Times New Roman"/>
                <w:sz w:val="20"/>
              </w:rPr>
              <w:t>Einsatzzweck</w:t>
            </w:r>
          </w:p>
        </w:tc>
        <w:tc>
          <w:tcPr>
            <w:tcW w:type="dxa" w:w="4536"/>
          </w:tcPr>
          <w:p>
            <w:r>
              <w:rPr>
                <w:rFonts w:ascii="Times New Roman" w:hAnsi="Times New Roman"/>
                <w:sz w:val="20"/>
              </w:rPr>
              <w:t>Erstprüfung Ehevertragsentwurf</w:t>
            </w:r>
          </w:p>
        </w:tc>
      </w:tr>
      <w:tr>
        <w:tc>
          <w:tcPr>
            <w:tcW w:type="dxa" w:w="4536"/>
          </w:tcPr>
          <w:p>
            <w:r>
              <w:rPr>
                <w:rFonts w:ascii="Times New Roman" w:hAnsi="Times New Roman"/>
                <w:sz w:val="20"/>
              </w:rPr>
              <w:t>Eingabe</w:t>
            </w:r>
          </w:p>
        </w:tc>
        <w:tc>
          <w:tcPr>
            <w:tcW w:type="dxa" w:w="4536"/>
          </w:tcPr>
          <w:p>
            <w:r>
              <w:rPr>
                <w:rFonts w:ascii="Times New Roman" w:hAnsi="Times New Roman"/>
                <w:sz w:val="20"/>
              </w:rPr>
              <w:t>Vollständiges PDF (14 S.) inkl. Personendaten</w:t>
            </w:r>
          </w:p>
        </w:tc>
      </w:tr>
      <w:tr>
        <w:tc>
          <w:tcPr>
            <w:tcW w:type="dxa" w:w="4536"/>
          </w:tcPr>
          <w:p>
            <w:r>
              <w:rPr>
                <w:rFonts w:ascii="Times New Roman" w:hAnsi="Times New Roman"/>
                <w:sz w:val="20"/>
              </w:rPr>
              <w:t>Output</w:t>
            </w:r>
          </w:p>
        </w:tc>
        <w:tc>
          <w:tcPr>
            <w:tcW w:type="dxa" w:w="4536"/>
          </w:tcPr>
          <w:p>
            <w:r>
              <w:rPr>
                <w:rFonts w:ascii="Times New Roman" w:hAnsi="Times New Roman"/>
                <w:sz w:val="20"/>
              </w:rPr>
              <w:t>8-seitige Analyse (PDF)</w:t>
            </w:r>
          </w:p>
        </w:tc>
      </w:tr>
      <w:tr>
        <w:tc>
          <w:tcPr>
            <w:tcW w:type="dxa" w:w="4536"/>
          </w:tcPr>
          <w:p>
            <w:r>
              <w:rPr>
                <w:rFonts w:ascii="Times New Roman" w:hAnsi="Times New Roman"/>
                <w:sz w:val="20"/>
              </w:rPr>
              <w:t>Weiterleitung an Mandantin</w:t>
            </w:r>
          </w:p>
        </w:tc>
        <w:tc>
          <w:tcPr>
            <w:tcW w:type="dxa" w:w="4536"/>
          </w:tcPr>
          <w:p>
            <w:r>
              <w:rPr>
                <w:rFonts w:ascii="Times New Roman" w:hAnsi="Times New Roman"/>
                <w:sz w:val="20"/>
              </w:rPr>
              <w:t>Ja, mit Streichung des KI-Warnhinweises</w:t>
            </w:r>
          </w:p>
        </w:tc>
      </w:tr>
      <w:tr>
        <w:tc>
          <w:tcPr>
            <w:tcW w:type="dxa" w:w="4536"/>
          </w:tcPr>
          <w:p>
            <w:r>
              <w:rPr>
                <w:rFonts w:ascii="Times New Roman" w:hAnsi="Times New Roman"/>
                <w:sz w:val="20"/>
              </w:rPr>
              <w:t>Eigenverantwortliche Prüfung</w:t>
            </w:r>
          </w:p>
        </w:tc>
        <w:tc>
          <w:tcPr>
            <w:tcW w:type="dxa" w:w="4536"/>
          </w:tcPr>
          <w:p>
            <w:r>
              <w:rPr>
                <w:rFonts w:ascii="Times New Roman" w:hAnsi="Times New Roman"/>
                <w:sz w:val="20"/>
              </w:rPr>
              <w:t>Nein (nur Randnotizen zu 3 von 12 Punkten)</w:t>
            </w:r>
          </w:p>
        </w:tc>
      </w:tr>
      <w:tr>
        <w:tc>
          <w:tcPr>
            <w:tcW w:type="dxa" w:w="4536"/>
          </w:tcPr>
          <w:p>
            <w:r>
              <w:rPr>
                <w:rFonts w:ascii="Times New Roman" w:hAnsi="Times New Roman"/>
                <w:sz w:val="20"/>
              </w:rPr>
              <w:t>Sittenwidrigkeitsprüfung § 138 BGB</w:t>
            </w:r>
          </w:p>
        </w:tc>
        <w:tc>
          <w:tcPr>
            <w:tcW w:type="dxa" w:w="4536"/>
          </w:tcPr>
          <w:p>
            <w:r>
              <w:rPr>
                <w:rFonts w:ascii="Times New Roman" w:hAnsi="Times New Roman"/>
                <w:sz w:val="20"/>
              </w:rPr>
              <w:t>Fehlt vollständig</w:t>
            </w:r>
          </w:p>
        </w:tc>
      </w:tr>
      <w:tr>
        <w:tc>
          <w:tcPr>
            <w:tcW w:type="dxa" w:w="4536"/>
          </w:tcPr>
          <w:p>
            <w:r>
              <w:rPr>
                <w:rFonts w:ascii="Times New Roman" w:hAnsi="Times New Roman"/>
                <w:sz w:val="20"/>
              </w:rPr>
              <w:t>Information der Mandantin über KI</w:t>
            </w:r>
          </w:p>
        </w:tc>
        <w:tc>
          <w:tcPr>
            <w:tcW w:type="dxa" w:w="4536"/>
          </w:tcPr>
          <w:p>
            <w:r>
              <w:rPr>
                <w:rFonts w:ascii="Times New Roman" w:hAnsi="Times New Roman"/>
                <w:sz w:val="20"/>
              </w:rPr>
              <w:t>Nein</w:t>
            </w:r>
          </w:p>
        </w:tc>
      </w:tr>
    </w:tbl>
    <w:p>
      <w:pPr>
        <w:pStyle w:val="Heading3"/>
      </w:pPr>
      <w:r>
        <w:rPr>
          <w:rFonts w:ascii="Times New Roman" w:hAnsi="Times New Roman"/>
        </w:rPr>
        <w:t>2.2 Schwachstellen von JuristAssist Pro 5 bei § 138 BGB</w:t>
      </w:r>
    </w:p>
    <w:p>
      <w:pPr>
        <w:jc w:val="left"/>
      </w:pPr>
      <w:r>
        <w:t>Die Produktdokumentation von JuristAssist Pro 5 (Version 5.1.2, gültig im Zeitraum März 2022) enthält unter Punkt 3.4 folgenden Hinweis:</w:t>
      </w:r>
    </w:p>
    <w:p>
      <w:pPr>
        <w:ind w:left="567"/>
      </w:pPr>
      <w:r>
        <w:rPr>
          <w:i/>
        </w:rPr>
        <w:t>„JuristAssist Pro analysiert Verträge auf Basis gesetzlicher Texte und Standardmuster. Eine umfassende Sittenwidrigkeitsprüfung nach § 138 BGB, insbesondere im Bereich Ehevertrag-Gesamtkonstellationen, erfordert menschliches Urteil und ist nicht Teil des automatisierten Moduls."</w:t>
      </w:r>
    </w:p>
    <w:p>
      <w:pPr>
        <w:jc w:val="left"/>
      </w:pPr>
      <w:r>
        <w:t>Dr. Rotbruch hat diese Einschränkung nicht beachtet. Das KI-Output enthält unter der Rubrik „Sittenwidrigkeit" lediglich den Hinweis: „Einzelne Klauseln erscheinen wirksam." Eine Gesamtabwägung fehlt.</w:t>
      </w:r>
    </w:p>
    <w:p/>
    <w:p>
      <w:pPr>
        <w:pStyle w:val="Heading2"/>
      </w:pPr>
      <w:r>
        <w:rPr>
          <w:rFonts w:ascii="Times New Roman" w:hAnsi="Times New Roman"/>
        </w:rPr>
        <w:t>3. Rechtliche Einordnung</w:t>
      </w:r>
    </w:p>
    <w:p>
      <w:pPr>
        <w:pStyle w:val="Heading3"/>
      </w:pPr>
      <w:r>
        <w:rPr>
          <w:rFonts w:ascii="Times New Roman" w:hAnsi="Times New Roman"/>
        </w:rPr>
        <w:t>3.1 Verhältnis KI-Einsatz zu anwaltlicher Haftung</w:t>
      </w:r>
    </w:p>
    <w:p>
      <w:pPr>
        <w:jc w:val="left"/>
      </w:pPr>
      <w:r>
        <w:t>Der Einsatz eines KI-Tools entlastet den Anwalt nicht von seiner haftungsrechtlichen Verantwortung. Der BGH hat in seiner Rechtsprechung zu Hilfspersonen (§ 278 BGB) und zur persönlichen Haftung des Rechtsanwalts (BGH, Urt. v. 15. April 2010, IX ZR 189/09) klargestellt, dass externe Werkzeuge und Hilfspersonen nicht die eigenverantwortliche Prüfungspflicht des Anwalts ersetzen. KI-Tools sind als Werkzeuge i.S.d. § 278 BGB zu behandeln: Fehler der KI gehen zulasten des eingesetzten Anwalts.</w:t>
      </w:r>
    </w:p>
    <w:p>
      <w:pPr>
        <w:pStyle w:val="Heading3"/>
      </w:pPr>
      <w:r>
        <w:rPr>
          <w:rFonts w:ascii="Times New Roman" w:hAnsi="Times New Roman"/>
        </w:rPr>
        <w:t>3.2 Berufsrechtliche Qualifikation (§ 43a Abs. 1 BRAO)</w:t>
      </w:r>
    </w:p>
    <w:p>
      <w:pPr>
        <w:jc w:val="left"/>
      </w:pPr>
      <w:r>
        <w:t>Nach § 43a Abs. 1 BRAO ist der Rechtsanwalt zur gewissenhaften Berufsausübung verpflichtet. Die BRAK-Stellungnahme 16/2023 konkretisiert dies für KI:</w:t>
      </w:r>
    </w:p>
    <w:p>
      <w:pPr>
        <w:pStyle w:val="ListBullet"/>
      </w:pPr>
      <w:r>
        <w:rPr>
          <w:b/>
        </w:rPr>
        <w:t>Validierungspflicht:</w:t>
      </w:r>
      <w:r>
        <w:t xml:space="preserve"> Jeder KI-Output muss vor Weiterleitung auf Richtigkeit und Vollständigkeit geprüft werden.</w:t>
      </w:r>
    </w:p>
    <w:p>
      <w:pPr>
        <w:pStyle w:val="ListBullet"/>
      </w:pPr>
      <w:r>
        <w:rPr>
          <w:b/>
        </w:rPr>
        <w:t>Transparenzpflicht:</w:t>
      </w:r>
      <w:r>
        <w:t xml:space="preserve"> Der Mandant ist über den Einsatz von KI-Tools zu informieren, wenn dies für die Beurteilung der Leistungsqualität relevant ist.</w:t>
      </w:r>
    </w:p>
    <w:p>
      <w:pPr>
        <w:pStyle w:val="ListBullet"/>
      </w:pPr>
      <w:r>
        <w:rPr>
          <w:b/>
        </w:rPr>
        <w:t>Datenschutzpflicht:</w:t>
      </w:r>
      <w:r>
        <w:t xml:space="preserve"> Mandantendaten dürfen nur in KI-Systeme eingespeist werden, für die ein wirksamer AVV nach Art. 28 DSGVO vorliegt.</w:t>
      </w:r>
    </w:p>
    <w:p>
      <w:pPr>
        <w:jc w:val="left"/>
      </w:pPr>
      <w:r>
        <w:t>Alle drei Pflichten hat Dr. Rotbruch verletzt.</w:t>
      </w:r>
    </w:p>
    <w:p>
      <w:pPr>
        <w:pStyle w:val="Heading3"/>
      </w:pPr>
      <w:r>
        <w:rPr>
          <w:rFonts w:ascii="Times New Roman" w:hAnsi="Times New Roman"/>
        </w:rPr>
        <w:t>3.3 EU AI Act (KI-VO) — prospektive Einordnung</w:t>
      </w:r>
    </w:p>
    <w:p>
      <w:pPr>
        <w:jc w:val="left"/>
      </w:pPr>
      <w:r>
        <w:t>Nach der EU-Verordnung (EU) 2024/1689 über künstliche Intelligenz (EUR-Lex), die ab August 2026 vollständig anwendbar ist, fallen KI-Systeme für die Analyse von Rechtsdokumenten in rechtlich bindenden Situationen in die Kategorie „Hochrisiko-KI" (Anhang III Nr. 8 lit. a KI-VO). Damit wären Anbieter wie LegalTech GmbH und Nutzer wie Dr. Rotbruch ab 2026 strengeren Pflichten unterworfen (Aktenstück 12). Zum Zeitpunkt der Nutzung im März 2022 war die KI-VO noch nicht in Kraft.</w:t>
      </w:r>
    </w:p>
    <w:p/>
    <w:p>
      <w:pPr>
        <w:pStyle w:val="Heading2"/>
      </w:pPr>
      <w:r>
        <w:rPr>
          <w:rFonts w:ascii="Times New Roman" w:hAnsi="Times New Roman"/>
        </w:rPr>
        <w:t>4. Handlungsempfehlung</w:t>
      </w:r>
    </w:p>
    <w:p>
      <w:pPr>
        <w:jc w:val="left"/>
      </w:pPr>
      <w:r>
        <w:t>Dr. Rotbruch sollte unverzüglich:</w:t>
      </w:r>
    </w:p>
    <w:p>
      <w:pPr>
        <w:pStyle w:val="ListNumber"/>
      </w:pPr>
      <w:r>
        <w:t xml:space="preserve">Eine schriftliche Kanzlei-KI-Richtlinie etablieren (Vorlage: </w:t>
      </w:r>
      <w:r>
        <w:t>docx/ki_einsatzrichtlinie_kanzlei_template.docx</w:t>
      </w:r>
      <w:r>
        <w:t>).</w:t>
      </w:r>
    </w:p>
    <w:p>
      <w:pPr>
        <w:pStyle w:val="ListNumber"/>
      </w:pPr>
      <w:r>
        <w:t>Einen AVV mit LegalTech GmbH abschließen oder den KI-Einsatz einstellen.</w:t>
      </w:r>
    </w:p>
    <w:p>
      <w:pPr>
        <w:pStyle w:val="ListNumber"/>
      </w:pPr>
      <w:r>
        <w:t>Alle seit 2021 mithilfe von KI-Tools erstellten und weitergeleiteten Dokumente identifizieren und prüfen, ob weitere Haftungsrisiken bestehen.</w:t>
      </w:r>
    </w:p>
    <w:p>
      <w:pPr>
        <w:pStyle w:val="ListNumber"/>
      </w:pPr>
      <w:r>
        <w:t>Die Berufshaftpflichtversicherung über sämtliche KI-bezogenen Vorfälle informieren (auch wenn Deckung abgelehnt wurde).</w:t>
      </w:r>
    </w:p>
    <w:p/>
    <w:p>
      <w:pPr>
        <w:jc w:val="left"/>
      </w:pPr>
      <w:r>
        <w:rPr>
          <w:b/>
        </w:rPr>
        <w:t>Quellen:</w:t>
      </w:r>
    </w:p>
    <w:p>
      <w:pPr>
        <w:pStyle w:val="ListBullet"/>
      </w:pPr>
      <w:r>
        <w:t>§ 43a BRAO (dejure.org)</w:t>
      </w:r>
    </w:p>
    <w:p>
      <w:pPr>
        <w:pStyle w:val="ListBullet"/>
      </w:pPr>
      <w:r>
        <w:t>§ 278 BGB (dejure.org)</w:t>
      </w:r>
    </w:p>
    <w:p>
      <w:pPr>
        <w:pStyle w:val="ListBullet"/>
      </w:pPr>
      <w:r>
        <w:t>EU-Verordnung 2024/1689 (KI-VO) (EUR-Lex)</w:t>
      </w:r>
    </w:p>
    <w:p>
      <w:pPr>
        <w:pStyle w:val="ListBullet"/>
      </w:pPr>
      <w:r>
        <w:t>BRAK-Stellungnahme 16/2023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