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Mandantenaufklärung über KI-Einsatz — § 11 BRAO, § 4 BORA</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Rechtliche Grundlagen der Aufklärungspflicht</w:t>
      </w:r>
    </w:p>
    <w:p>
      <w:pPr>
        <w:pStyle w:val="Heading3"/>
      </w:pPr>
      <w:r>
        <w:rPr>
          <w:rFonts w:ascii="Times New Roman" w:hAnsi="Times New Roman"/>
        </w:rPr>
        <w:t>1.1 § 43a Abs. 1 BRAO — Grundpflicht zur Gewissenhaftigkeit</w:t>
      </w:r>
    </w:p>
    <w:p>
      <w:pPr>
        <w:jc w:val="left"/>
      </w:pPr>
      <w:r>
        <w:t>Die anwaltliche Aufklärungspflicht gegenüber Mandanten ist in § 43a Abs. 1 BRAO verankert und durch die Rechtsprechung des BGH zu §§ 280, 675 BGB präzisiert worden. Zur Gewissenhaftigkeit zählt auch die Transparenz über die Mittel, mit denen die anwaltliche Leistung erbracht wird, sofern dies für die Beurteilung der Qualität der Leistung relevant ist.</w:t>
      </w:r>
    </w:p>
    <w:p>
      <w:pPr>
        <w:pStyle w:val="Heading3"/>
      </w:pPr>
      <w:r>
        <w:rPr>
          <w:rFonts w:ascii="Times New Roman" w:hAnsi="Times New Roman"/>
        </w:rPr>
        <w:t>1.2 § 4 BORA — Interessenkollision und Information</w:t>
      </w:r>
    </w:p>
    <w:p>
      <w:pPr>
        <w:jc w:val="left"/>
      </w:pPr>
      <w:r>
        <w:t>Nach § 4 BORA ist der Anwalt verpflichtet, den Mandanten vollständig über alle Umstände zu informieren, die für dessen Entscheidung erheblich sein könnten. Dazu gehört nach herrschender Auffassung auch die Information darüber, dass eine Vertragsprüfung nicht eigenständig, sondern mithilfe eines KI-Systems durchgeführt wird, wenn dies die Verlässlichkeit und Tiefe der Analyse beeinflusst.</w:t>
      </w:r>
    </w:p>
    <w:p>
      <w:pPr>
        <w:pStyle w:val="Heading3"/>
      </w:pPr>
      <w:r>
        <w:rPr>
          <w:rFonts w:ascii="Times New Roman" w:hAnsi="Times New Roman"/>
        </w:rPr>
        <w:t>1.3 § 11 BRAO — Vergütung und Transparenz</w:t>
      </w:r>
    </w:p>
    <w:p>
      <w:pPr>
        <w:jc w:val="left"/>
      </w:pPr>
      <w:r>
        <w:t>§ 11 BRAO regelt im Zusammenhang mit der Vergütungsvereinbarung die Pflicht zu klarer Leistungsbeschreibung. Wenn KI-Tools eingesetzt werden und hierdurch eine erhebliche Zeitersparnis entsteht, die dem Mandanten im Stundensatz nicht zugute kommt, kann dies zu einem Vergütungsrecht-Problem führen. Im Fall Rotbruch: Das KI-Tool lieferte die Analyse in 47 Sekunden; Dr. Rotbruch berechnete 12 Stunden à 280 EUR.</w:t>
      </w:r>
    </w:p>
    <w:p/>
    <w:p>
      <w:pPr>
        <w:pStyle w:val="Heading2"/>
      </w:pPr>
      <w:r>
        <w:rPr>
          <w:rFonts w:ascii="Times New Roman" w:hAnsi="Times New Roman"/>
        </w:rPr>
        <w:t>2. Aufklärungsdefizite im konkreten Fall</w:t>
      </w:r>
    </w:p>
    <w:p>
      <w:pPr>
        <w:pStyle w:val="Heading3"/>
      </w:pPr>
      <w:r>
        <w:rPr>
          <w:rFonts w:ascii="Times New Roman" w:hAnsi="Times New Roman"/>
        </w:rPr>
        <w:t>2.1 Keine Information über KI-Einsatz</w:t>
      </w:r>
    </w:p>
    <w:p>
      <w:pPr>
        <w:jc w:val="left"/>
      </w:pPr>
      <w:r>
        <w:t>Frau Habernau wurde zu keinem Zeitpunkt — weder im Erstgespräch (3. März 2022) noch per Mandatsbeschreibung noch per E-Mail — darüber informiert, dass der Ehevertrag mithilfe des KI-Tools JuristAssist Pro 5 geprüft werden würde.</w:t>
      </w:r>
    </w:p>
    <w:p>
      <w:pPr>
        <w:jc w:val="left"/>
      </w:pPr>
      <w:r>
        <w:t>Die übersandte E-Mail vom 22. März 2022 lautet einleitend:</w:t>
      </w:r>
    </w:p>
    <w:p>
      <w:pPr>
        <w:ind w:left="567"/>
      </w:pPr>
      <w:r>
        <w:rPr>
          <w:i/>
        </w:rPr>
        <w:t>„Sehr geehrte Frau Habernau, anbei übersende ich Ihnen meine Vertragsprüfung. Der Ehevertrag erscheint in den wesentlichen Klauseln rechtlich unbedenklich."</w:t>
      </w:r>
    </w:p>
    <w:p>
      <w:pPr>
        <w:jc w:val="left"/>
      </w:pPr>
      <w:r>
        <w:t>Der Begriff „meine Vertragsprüfung" suggeriert eine eigenständig durch Dr. Rotbruch erstellte Analyse. Diese Formulierung ist angesichts der tatsächlichen Entstehungsweise des Dokuments irreführend.</w:t>
      </w:r>
    </w:p>
    <w:p>
      <w:pPr>
        <w:pStyle w:val="Heading3"/>
      </w:pPr>
      <w:r>
        <w:rPr>
          <w:rFonts w:ascii="Times New Roman" w:hAnsi="Times New Roman"/>
        </w:rPr>
        <w:t>2.2 Streichung des KI-Warnhinweises</w:t>
      </w:r>
    </w:p>
    <w:p>
      <w:pPr>
        <w:jc w:val="left"/>
      </w:pPr>
      <w:r>
        <w:t>JuristAssist Pro 5 fügt automatisch einen standardisierten Warnhinweis an jeden Output an. Dieser Hinweis (Wortlaut s. Aktenstück 01, Abschn. 5) empfahl ausdrücklich eine gesonderte menschliche Prüfung der Sittenwidrigkeit. Durch die Entfernung dieses Hinweises hat Dr. Rotbruch aktiv dazu beigetragen, dass Frau Habernau die Grenzen der Analyse nicht erkennen konnte.</w:t>
      </w:r>
    </w:p>
    <w:p>
      <w:pPr>
        <w:jc w:val="left"/>
      </w:pPr>
      <w:r>
        <w:t>Die Entfernung eines Warnhinweises, den ein beauftragtes Hilfsmittel als Risikohinweis formuliert, kann unter Umständen als arglistige Täuschung i.S.d. § 123 BGB gewertet werden. Im vorliegenden Kontext qualifiziert es zumindest als grobe Pflichtverletzung i.S.d. § 43a Abs. 1 BRAO.</w:t>
      </w:r>
    </w:p>
    <w:p>
      <w:pPr>
        <w:pStyle w:val="Heading3"/>
      </w:pPr>
      <w:r>
        <w:rPr>
          <w:rFonts w:ascii="Times New Roman" w:hAnsi="Times New Roman"/>
        </w:rPr>
        <w:t>2.3 AGB-Klausel als unzulässiger Aufklärungsersatz</w:t>
      </w:r>
    </w:p>
    <w:p>
      <w:pPr>
        <w:jc w:val="left"/>
      </w:pPr>
      <w:r>
        <w:t>Die Kanzlei-AGB von Dr. Rotbruch (Version 2021) enthielten folgenden Passus:</w:t>
      </w:r>
    </w:p>
    <w:p>
      <w:pPr>
        <w:ind w:left="567"/>
      </w:pPr>
      <w:r>
        <w:rPr>
          <w:i/>
        </w:rPr>
        <w:t>„Die Beratungsleistungen erfolgen unter Einsatz digitaler und KI-gestützter Hilfsmittel. Der Mandant erklärt sich hiermit einverstanden."</w:t>
      </w:r>
    </w:p>
    <w:p>
      <w:pPr>
        <w:jc w:val="left"/>
      </w:pPr>
      <w:r>
        <w:t>Diese Klausel kann die individuelle Aufklärungspflicht nicht ersetzen, weil:</w:t>
      </w:r>
    </w:p>
    <w:p>
      <w:pPr>
        <w:pStyle w:val="ListBullet"/>
      </w:pPr>
      <w:r>
        <w:t>sie keine konkreten Angaben über Art und Umfang des KI-Einsatzes enthält,</w:t>
      </w:r>
    </w:p>
    <w:p>
      <w:pPr>
        <w:pStyle w:val="ListBullet"/>
      </w:pPr>
      <w:r>
        <w:t>sie keine Risikohinweise enthält,</w:t>
      </w:r>
    </w:p>
    <w:p>
      <w:pPr>
        <w:pStyle w:val="ListBullet"/>
      </w:pPr>
      <w:r>
        <w:t>sie keine informierte Einwilligung ermöglicht (Art. 7 DSGVO),</w:t>
      </w:r>
    </w:p>
    <w:p>
      <w:pPr>
        <w:pStyle w:val="ListBullet"/>
      </w:pPr>
      <w:r>
        <w:t>sie nach § 307 BGB wegen unangemessener Benachteiligung unwirksam ist (dazu Aktenstück 11).</w:t>
      </w:r>
    </w:p>
    <w:p/>
    <w:p>
      <w:pPr>
        <w:pStyle w:val="Heading2"/>
      </w:pPr>
      <w:r>
        <w:rPr>
          <w:rFonts w:ascii="Times New Roman" w:hAnsi="Times New Roman"/>
        </w:rPr>
        <w:t>3. Vergleich mit Best Practice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Best Practice</w:t>
            </w:r>
          </w:p>
        </w:tc>
        <w:tc>
          <w:tcPr>
            <w:tcW w:type="dxa" w:w="3024"/>
          </w:tcPr>
          <w:p>
            <w:r>
              <w:rPr>
                <w:rFonts w:ascii="Times New Roman" w:hAnsi="Times New Roman"/>
                <w:b/>
                <w:sz w:val="20"/>
              </w:rPr>
              <w:t>Rotbruch-Kanzlei</w:t>
            </w:r>
          </w:p>
        </w:tc>
      </w:tr>
      <w:tr>
        <w:tc>
          <w:tcPr>
            <w:tcW w:type="dxa" w:w="3024"/>
          </w:tcPr>
          <w:p>
            <w:r>
              <w:rPr>
                <w:rFonts w:ascii="Times New Roman" w:hAnsi="Times New Roman"/>
                <w:sz w:val="20"/>
              </w:rPr>
              <w:t>Information über KI-Einsatz</w:t>
            </w:r>
          </w:p>
        </w:tc>
        <w:tc>
          <w:tcPr>
            <w:tcW w:type="dxa" w:w="3024"/>
          </w:tcPr>
          <w:p>
            <w:r>
              <w:rPr>
                <w:rFonts w:ascii="Times New Roman" w:hAnsi="Times New Roman"/>
                <w:sz w:val="20"/>
              </w:rPr>
              <w:t>Schriftlich im Mandatsbeschreibungsschreiben</w:t>
            </w:r>
          </w:p>
        </w:tc>
        <w:tc>
          <w:tcPr>
            <w:tcW w:type="dxa" w:w="3024"/>
          </w:tcPr>
          <w:p>
            <w:r>
              <w:rPr>
                <w:rFonts w:ascii="Times New Roman" w:hAnsi="Times New Roman"/>
                <w:sz w:val="20"/>
              </w:rPr>
              <w:t>Nicht erfolgt</w:t>
            </w:r>
          </w:p>
        </w:tc>
      </w:tr>
      <w:tr>
        <w:tc>
          <w:tcPr>
            <w:tcW w:type="dxa" w:w="3024"/>
          </w:tcPr>
          <w:p>
            <w:r>
              <w:rPr>
                <w:rFonts w:ascii="Times New Roman" w:hAnsi="Times New Roman"/>
                <w:sz w:val="20"/>
              </w:rPr>
              <w:t>Beschreibung des KI-Tools</w:t>
            </w:r>
          </w:p>
        </w:tc>
        <w:tc>
          <w:tcPr>
            <w:tcW w:type="dxa" w:w="3024"/>
          </w:tcPr>
          <w:p>
            <w:r>
              <w:rPr>
                <w:rFonts w:ascii="Times New Roman" w:hAnsi="Times New Roman"/>
                <w:sz w:val="20"/>
              </w:rPr>
              <w:t>Art, Anbieter, Einsatzzweck genannt</w:t>
            </w:r>
          </w:p>
        </w:tc>
        <w:tc>
          <w:tcPr>
            <w:tcW w:type="dxa" w:w="3024"/>
          </w:tcPr>
          <w:p>
            <w:r>
              <w:rPr>
                <w:rFonts w:ascii="Times New Roman" w:hAnsi="Times New Roman"/>
                <w:sz w:val="20"/>
              </w:rPr>
              <w:t>Nicht erfolgt</w:t>
            </w:r>
          </w:p>
        </w:tc>
      </w:tr>
      <w:tr>
        <w:tc>
          <w:tcPr>
            <w:tcW w:type="dxa" w:w="3024"/>
          </w:tcPr>
          <w:p>
            <w:r>
              <w:rPr>
                <w:rFonts w:ascii="Times New Roman" w:hAnsi="Times New Roman"/>
                <w:sz w:val="20"/>
              </w:rPr>
              <w:t>Grenzen des KI-Tools</w:t>
            </w:r>
          </w:p>
        </w:tc>
        <w:tc>
          <w:tcPr>
            <w:tcW w:type="dxa" w:w="3024"/>
          </w:tcPr>
          <w:p>
            <w:r>
              <w:rPr>
                <w:rFonts w:ascii="Times New Roman" w:hAnsi="Times New Roman"/>
                <w:sz w:val="20"/>
              </w:rPr>
              <w:t>Ausdrücklich dargestellt</w:t>
            </w:r>
          </w:p>
        </w:tc>
        <w:tc>
          <w:tcPr>
            <w:tcW w:type="dxa" w:w="3024"/>
          </w:tcPr>
          <w:p>
            <w:r>
              <w:rPr>
                <w:rFonts w:ascii="Times New Roman" w:hAnsi="Times New Roman"/>
                <w:sz w:val="20"/>
              </w:rPr>
              <w:t>Warnhinweis entfernt</w:t>
            </w:r>
          </w:p>
        </w:tc>
      </w:tr>
      <w:tr>
        <w:tc>
          <w:tcPr>
            <w:tcW w:type="dxa" w:w="3024"/>
          </w:tcPr>
          <w:p>
            <w:r>
              <w:rPr>
                <w:rFonts w:ascii="Times New Roman" w:hAnsi="Times New Roman"/>
                <w:sz w:val="20"/>
              </w:rPr>
              <w:t>Einwilligung Mandant</w:t>
            </w:r>
          </w:p>
        </w:tc>
        <w:tc>
          <w:tcPr>
            <w:tcW w:type="dxa" w:w="3024"/>
          </w:tcPr>
          <w:p>
            <w:r>
              <w:rPr>
                <w:rFonts w:ascii="Times New Roman" w:hAnsi="Times New Roman"/>
                <w:sz w:val="20"/>
              </w:rPr>
              <w:t>Individuell, informiert, dokumentiert</w:t>
            </w:r>
          </w:p>
        </w:tc>
        <w:tc>
          <w:tcPr>
            <w:tcW w:type="dxa" w:w="3024"/>
          </w:tcPr>
          <w:p>
            <w:r>
              <w:rPr>
                <w:rFonts w:ascii="Times New Roman" w:hAnsi="Times New Roman"/>
                <w:sz w:val="20"/>
              </w:rPr>
              <w:t>AGB-Klausel (unwirksam)</w:t>
            </w:r>
          </w:p>
        </w:tc>
      </w:tr>
      <w:tr>
        <w:tc>
          <w:tcPr>
            <w:tcW w:type="dxa" w:w="3024"/>
          </w:tcPr>
          <w:p>
            <w:r>
              <w:rPr>
                <w:rFonts w:ascii="Times New Roman" w:hAnsi="Times New Roman"/>
                <w:sz w:val="20"/>
              </w:rPr>
              <w:t>KI-Output-Kennzeichnung</w:t>
            </w:r>
          </w:p>
        </w:tc>
        <w:tc>
          <w:tcPr>
            <w:tcW w:type="dxa" w:w="3024"/>
          </w:tcPr>
          <w:p>
            <w:r>
              <w:rPr>
                <w:rFonts w:ascii="Times New Roman" w:hAnsi="Times New Roman"/>
                <w:sz w:val="20"/>
              </w:rPr>
              <w:t>Dokument als „KI-generiert, anwaltlich geprüft"</w:t>
            </w:r>
          </w:p>
        </w:tc>
        <w:tc>
          <w:tcPr>
            <w:tcW w:type="dxa" w:w="3024"/>
          </w:tcPr>
          <w:p>
            <w:r>
              <w:rPr>
                <w:rFonts w:ascii="Times New Roman" w:hAnsi="Times New Roman"/>
                <w:sz w:val="20"/>
              </w:rPr>
              <w:t>Suggestiv als eigene Analyse präsentiert</w:t>
            </w:r>
          </w:p>
        </w:tc>
      </w:tr>
      <w:tr>
        <w:tc>
          <w:tcPr>
            <w:tcW w:type="dxa" w:w="3024"/>
          </w:tcPr>
          <w:p>
            <w:r>
              <w:rPr>
                <w:rFonts w:ascii="Times New Roman" w:hAnsi="Times New Roman"/>
                <w:sz w:val="20"/>
              </w:rPr>
              <w:t>Weiterleitung nur nach Prüfung</w:t>
            </w:r>
          </w:p>
        </w:tc>
        <w:tc>
          <w:tcPr>
            <w:tcW w:type="dxa" w:w="3024"/>
          </w:tcPr>
          <w:p>
            <w:r>
              <w:rPr>
                <w:rFonts w:ascii="Times New Roman" w:hAnsi="Times New Roman"/>
                <w:sz w:val="20"/>
              </w:rPr>
              <w:t>Checkliste, Abzeichnung</w:t>
            </w:r>
          </w:p>
        </w:tc>
        <w:tc>
          <w:tcPr>
            <w:tcW w:type="dxa" w:w="3024"/>
          </w:tcPr>
          <w:p>
            <w:r>
              <w:rPr>
                <w:rFonts w:ascii="Times New Roman" w:hAnsi="Times New Roman"/>
                <w:sz w:val="20"/>
              </w:rPr>
              <w:t>Keine Qualitätssicherung</w:t>
            </w:r>
          </w:p>
        </w:tc>
      </w:tr>
    </w:tbl>
    <w:p/>
    <w:p>
      <w:pPr>
        <w:pStyle w:val="Heading2"/>
      </w:pPr>
      <w:r>
        <w:rPr>
          <w:rFonts w:ascii="Times New Roman" w:hAnsi="Times New Roman"/>
        </w:rPr>
        <w:t>4. Berufsrechtliche Konsequenzen</w:t>
      </w:r>
    </w:p>
    <w:p>
      <w:pPr>
        <w:jc w:val="left"/>
      </w:pPr>
      <w:r>
        <w:t>Das Aufklärungsdefizit ist im Rügeverfahren (Aktenstück 08) als eigenständiger Vorwurf Nr. 3 (von 5) aufgeführt. Die Rechtsanwaltskammer Köln sieht hierin einen Verstoß gegen:</w:t>
      </w:r>
    </w:p>
    <w:p>
      <w:pPr>
        <w:pStyle w:val="ListBullet"/>
      </w:pPr>
      <w:r>
        <w:t>§ 43a Abs. 1 BRAO (gewissenhafte Berufsausübung),</w:t>
      </w:r>
    </w:p>
    <w:p>
      <w:pPr>
        <w:pStyle w:val="ListBullet"/>
      </w:pPr>
      <w:r>
        <w:t>§ 4 BORA (vollständige Mandanteninformation),</w:t>
      </w:r>
    </w:p>
    <w:p>
      <w:pPr>
        <w:pStyle w:val="ListBullet"/>
      </w:pPr>
      <w:r>
        <w:t>die berufsrechtliche Transparenzpflicht, die aus dem Mandatsvertrag (§ 675 BGB) folgt.</w:t>
      </w:r>
    </w:p>
    <w:p>
      <w:pPr>
        <w:jc w:val="left"/>
      </w:pPr>
      <w:r>
        <w:t>Im Anwaltsgericht wäre dieser Vorwurf — sofern keine isolierte Betrachtung erfolgt — geeignet, eine Geldbuße nach § 114 Abs. 1 Nr. 3 BRAO zu begründen.</w:t>
      </w:r>
    </w:p>
    <w:p/>
    <w:p>
      <w:pPr>
        <w:pStyle w:val="Heading2"/>
      </w:pPr>
      <w:r>
        <w:rPr>
          <w:rFonts w:ascii="Times New Roman" w:hAnsi="Times New Roman"/>
        </w:rPr>
        <w:t>5. Reformbedarf</w:t>
      </w:r>
    </w:p>
    <w:p>
      <w:pPr>
        <w:jc w:val="left"/>
      </w:pPr>
      <w:r>
        <w:t>Die vorliegende Fallkonstellation verdeutlicht die Notwendigkeit einer ausdrücklichen berufsrechtlichen Regelung in BRAO oder BORA, die konkrete Mindeststandards für den Einsatz von KI in der Anwaltschaft normiert. Entsprechende Regelungsansätze werden von der BRAK (Stellungnahme 16/2023) und in der Rechtswissenschaft diskutiert (vgl. Aktenstück 22).</w:t>
      </w:r>
    </w:p>
    <w:p/>
    <w:p>
      <w:pPr>
        <w:jc w:val="left"/>
      </w:pPr>
      <w:r>
        <w:rPr>
          <w:b/>
        </w:rPr>
        <w:t>Quellen:</w:t>
      </w:r>
    </w:p>
    <w:p>
      <w:pPr>
        <w:pStyle w:val="ListBullet"/>
      </w:pPr>
      <w:r>
        <w:t>§ 43a BRAO (dejure.org)</w:t>
      </w:r>
    </w:p>
    <w:p>
      <w:pPr>
        <w:pStyle w:val="ListBullet"/>
      </w:pPr>
      <w:r>
        <w:t>§ 4 BORA (dejure.org)</w:t>
      </w:r>
    </w:p>
    <w:p>
      <w:pPr>
        <w:pStyle w:val="ListBullet"/>
      </w:pPr>
      <w:r>
        <w:t>§ 11 BRAO (dejure.org)</w:t>
      </w:r>
    </w:p>
    <w:p>
      <w:pPr>
        <w:pStyle w:val="ListBullet"/>
      </w:pPr>
      <w:r>
        <w:t>§ 307 BGB (dejure.org)</w:t>
      </w:r>
    </w:p>
    <w:p>
      <w:pPr>
        <w:pStyle w:val="ListBullet"/>
      </w:pPr>
      <w:r>
        <w:t>§ 123 BGB (dejure.org)</w:t>
      </w:r>
    </w:p>
    <w:p>
      <w:pPr>
        <w:pStyle w:val="ListBullet"/>
      </w:pPr>
      <w:r>
        <w:t>§ 675 BGB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