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Geheimnisschutz — § 203 StGB, § 43a Abs. 2 BRAO, § 2 BRAO</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Grundlagen des anwaltlichen Geheimnisschutzes</w:t>
      </w:r>
    </w:p>
    <w:p>
      <w:pPr>
        <w:jc w:val="left"/>
      </w:pPr>
      <w:r>
        <w:t>Der Geheimnisschutz ist einer der elementarsten Grundsätze des anwaltlichen Berufsrechts. Er dient dem Vertrauen des Rechtsuchenden, das die Voraussetzung einer wirksamen Rechtsberatung ist. Folgende Normen bilden das Geheimnisschutz-Regime: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Norm</w:t>
            </w:r>
          </w:p>
        </w:tc>
        <w:tc>
          <w:tcPr>
            <w:tcW w:type="dxa" w:w="4536"/>
          </w:tcPr>
          <w:p>
            <w:r>
              <w:rPr>
                <w:rFonts w:ascii="Times New Roman" w:hAnsi="Times New Roman"/>
                <w:b/>
                <w:sz w:val="20"/>
              </w:rPr>
              <w:t>Inhalt</w:t>
            </w:r>
          </w:p>
        </w:tc>
      </w:tr>
      <w:tr>
        <w:tc>
          <w:tcPr>
            <w:tcW w:type="dxa" w:w="4536"/>
          </w:tcPr>
          <w:p>
            <w:r>
              <w:rPr>
                <w:rFonts w:ascii="Times New Roman" w:hAnsi="Times New Roman"/>
                <w:sz w:val="20"/>
              </w:rPr>
              <w:t>§ 2 BRAO</w:t>
            </w:r>
          </w:p>
        </w:tc>
        <w:tc>
          <w:tcPr>
            <w:tcW w:type="dxa" w:w="4536"/>
          </w:tcPr>
          <w:p>
            <w:r>
              <w:rPr>
                <w:rFonts w:ascii="Times New Roman" w:hAnsi="Times New Roman"/>
                <w:sz w:val="20"/>
              </w:rPr>
              <w:t>Anwalt als Organ der Rechtspflege; Unabhängigkeit und Verschwiegenheit als Wesensmerkmale</w:t>
            </w:r>
          </w:p>
        </w:tc>
      </w:tr>
      <w:tr>
        <w:tc>
          <w:tcPr>
            <w:tcW w:type="dxa" w:w="4536"/>
          </w:tcPr>
          <w:p>
            <w:r>
              <w:rPr>
                <w:rFonts w:ascii="Times New Roman" w:hAnsi="Times New Roman"/>
                <w:sz w:val="20"/>
              </w:rPr>
              <w:t>§ 43a Abs. 2 BRAO</w:t>
            </w:r>
          </w:p>
        </w:tc>
        <w:tc>
          <w:tcPr>
            <w:tcW w:type="dxa" w:w="4536"/>
          </w:tcPr>
          <w:p>
            <w:r>
              <w:rPr>
                <w:rFonts w:ascii="Times New Roman" w:hAnsi="Times New Roman"/>
                <w:sz w:val="20"/>
              </w:rPr>
              <w:t>Konkrete Pflicht zur Verschwiegenheit; Weitergabeverbot ohne Einwilligung</w:t>
            </w:r>
          </w:p>
        </w:tc>
      </w:tr>
      <w:tr>
        <w:tc>
          <w:tcPr>
            <w:tcW w:type="dxa" w:w="4536"/>
          </w:tcPr>
          <w:p>
            <w:r>
              <w:rPr>
                <w:rFonts w:ascii="Times New Roman" w:hAnsi="Times New Roman"/>
                <w:sz w:val="20"/>
              </w:rPr>
              <w:t>§ 203 Abs. 1 Nr. 3 StGB</w:t>
            </w:r>
          </w:p>
        </w:tc>
        <w:tc>
          <w:tcPr>
            <w:tcW w:type="dxa" w:w="4536"/>
          </w:tcPr>
          <w:p>
            <w:r>
              <w:rPr>
                <w:rFonts w:ascii="Times New Roman" w:hAnsi="Times New Roman"/>
                <w:sz w:val="20"/>
              </w:rPr>
              <w:t>Strafbarkeit der unbefugten Offenbarung von Privatgeheimnissen</w:t>
            </w:r>
          </w:p>
        </w:tc>
      </w:tr>
      <w:tr>
        <w:tc>
          <w:tcPr>
            <w:tcW w:type="dxa" w:w="4536"/>
          </w:tcPr>
          <w:p>
            <w:r>
              <w:rPr>
                <w:rFonts w:ascii="Times New Roman" w:hAnsi="Times New Roman"/>
                <w:sz w:val="20"/>
              </w:rPr>
              <w:t>§ 203 Abs. 3 Satz 2 StGB</w:t>
            </w:r>
          </w:p>
        </w:tc>
        <w:tc>
          <w:tcPr>
            <w:tcW w:type="dxa" w:w="4536"/>
          </w:tcPr>
          <w:p>
            <w:r>
              <w:rPr>
                <w:rFonts w:ascii="Times New Roman" w:hAnsi="Times New Roman"/>
                <w:sz w:val="20"/>
              </w:rPr>
              <w:t>Strafbarkeit des Zugänglichmachens für sonstige Personen, denen der Anwalt Daten anvertraut</w:t>
            </w:r>
          </w:p>
        </w:tc>
      </w:tr>
    </w:tbl>
    <w:p>
      <w:pPr>
        <w:jc w:val="left"/>
      </w:pPr>
      <w:r>
        <w:t>Die Vorschrift des § 203 Abs. 3 Satz 2 StGB wurde durch das Gesetz zur Neuregelung des Schutzes von Geheimnissen bei der Mitwirkung Dritter an der Berufsausübung schweigepflichtiger Personen vom 30. Oktober 2017 eingefügt. Sie erlaubt die Einbeziehung von Dienstleistern (Auftragsverarbeitern), wenn diese wirksam zur Verschwiegenheit verpflichtet wurden.</w:t>
      </w:r>
    </w:p>
    <w:p/>
    <w:p>
      <w:pPr>
        <w:pStyle w:val="Heading2"/>
      </w:pPr>
      <w:r>
        <w:rPr>
          <w:rFonts w:ascii="Times New Roman" w:hAnsi="Times New Roman"/>
        </w:rPr>
        <w:t>2. Dritte und § 203 Abs. 3 Satz 2 StGB — Auftragsverarbeiter im Cloud-Kontext</w:t>
      </w:r>
    </w:p>
    <w:p>
      <w:pPr>
        <w:jc w:val="left"/>
      </w:pPr>
      <w:r>
        <w:t>Die Einbeziehung eines Cloud-KI-Anbieters in die anwaltliche Leistungserbringung fällt unter § 203 Abs. 3 Satz 2 StGB (Zugänglichmachen für sonstige mitwirkende Personen). Die Strafbarkeit entfällt, wenn der Dritte (hier: LegalTech GmbH) wirksam zur Verschwiegenheit verpflichtet wurde.</w:t>
      </w:r>
    </w:p>
    <w:p>
      <w:pPr>
        <w:jc w:val="left"/>
      </w:pPr>
      <w:r>
        <w:t>Die wirksame Verpflichtung setzt voraus:</w:t>
      </w:r>
    </w:p>
    <w:p>
      <w:pPr>
        <w:pStyle w:val="ListNumber"/>
      </w:pPr>
      <w:r>
        <w:t>Schriftliche Vereinbarung der Verschwiegenheitspflicht,</w:t>
      </w:r>
    </w:p>
    <w:p>
      <w:pPr>
        <w:pStyle w:val="ListNumber"/>
      </w:pPr>
      <w:r>
        <w:t>Belehrung über die Strafbarkeit nach § 203 StGB,</w:t>
      </w:r>
    </w:p>
    <w:p>
      <w:pPr>
        <w:pStyle w:val="ListNumber"/>
      </w:pPr>
      <w:r>
        <w:t>Bindung des Dritten an anwaltliche Geheimhaltungsstandards.</w:t>
      </w:r>
    </w:p>
    <w:p>
      <w:pPr>
        <w:jc w:val="left"/>
      </w:pPr>
      <w:r>
        <w:t>Im Fall Rotbruch fehlte eine solche Verpflichtung vollständig. Die AGB-Klausel der LegalTech GmbH (Ziffer 9.4, s. Aktenstück 06) genügt nicht den Anforderungen des § 203 Abs. 3 Satz 2 StGB, weil:</w:t>
      </w:r>
    </w:p>
    <w:p>
      <w:pPr>
        <w:pStyle w:val="ListBullet"/>
      </w:pPr>
      <w:r>
        <w:t>sie keine ausdrückliche Verschwiegenheitsverpflichtung beinhaltet,</w:t>
      </w:r>
    </w:p>
    <w:p>
      <w:pPr>
        <w:pStyle w:val="ListBullet"/>
      </w:pPr>
      <w:r>
        <w:t>sie keine Belehrung über § 203 StGB enthält,</w:t>
      </w:r>
    </w:p>
    <w:p>
      <w:pPr>
        <w:pStyle w:val="ListBullet"/>
      </w:pPr>
      <w:r>
        <w:t>sie für alle Nutzer (also auch Nicht-Anwälte) gilt und damit nicht auf den besonderen Schutzstandard der Anwaltschaft zugeschnitten ist.</w:t>
      </w:r>
    </w:p>
    <w:p/>
    <w:p>
      <w:pPr>
        <w:pStyle w:val="Heading2"/>
      </w:pPr>
      <w:r>
        <w:rPr>
          <w:rFonts w:ascii="Times New Roman" w:hAnsi="Times New Roman"/>
        </w:rPr>
        <w:t>3. Strafrechtliche Bewertung</w:t>
      </w:r>
    </w:p>
    <w:p>
      <w:pPr>
        <w:pStyle w:val="Heading3"/>
      </w:pPr>
      <w:r>
        <w:rPr>
          <w:rFonts w:ascii="Times New Roman" w:hAnsi="Times New Roman"/>
        </w:rPr>
        <w:t>3.1 Tatbestand § 203 Abs. 1 Nr. 3 StGB</w:t>
      </w:r>
    </w:p>
    <w:p>
      <w:pPr>
        <w:jc w:val="left"/>
      </w:pPr>
      <w:r>
        <w:rPr>
          <w:b/>
        </w:rPr>
        <w:t>Täter:</w:t>
      </w:r>
      <w:r>
        <w:t xml:space="preserve"> RA Dr. Rotbruch (Rechtsanwalt, damit Geheimnisträger kraft Amts).</w:t>
      </w:r>
    </w:p>
    <w:p>
      <w:pPr>
        <w:jc w:val="left"/>
      </w:pPr>
      <w:r>
        <w:rPr>
          <w:b/>
        </w:rPr>
        <w:t>Geheimnis:</w:t>
      </w:r>
      <w:r>
        <w:t xml:space="preserve"> Die Vermögensverhältnisse, persönlichen Daten und vertraglichen Inhalte, die Frau Habernau Dr. Rotbruch im Rahmen des Mandats anvertraut hat, stellen Privatgeheimnisse i.S.d. § 203 StGB dar.</w:t>
      </w:r>
    </w:p>
    <w:p>
      <w:pPr>
        <w:jc w:val="left"/>
      </w:pPr>
      <w:r>
        <w:rPr>
          <w:b/>
        </w:rPr>
        <w:t>Offenbaren:</w:t>
      </w:r>
      <w:r>
        <w:t xml:space="preserve"> Das Hochladen der Mandantendaten in das Cloud-System der LegalTech GmbH ist ein Zugänglichmachen für Dritte. Der Begriff „offenbaren" umfasst jede Mitteilung, die dem Dritten die Kenntnisnahme ermöglicht, unabhängig davon, ob der Dritte die Daten tatsächlich zur Kenntnis nimmt.</w:t>
      </w:r>
    </w:p>
    <w:p>
      <w:pPr>
        <w:jc w:val="left"/>
      </w:pPr>
      <w:r>
        <w:rPr>
          <w:b/>
        </w:rPr>
        <w:t>Unbefugt:</w:t>
      </w:r>
      <w:r>
        <w:t xml:space="preserve"> Da keine wirksame Verpflichtung nach § 203 Abs. 3 Satz 2 StGB bestand, war das Offenbaren unbefugt. Die AGB-Klausel begründet keine Erlaubnis.</w:t>
      </w:r>
    </w:p>
    <w:p>
      <w:pPr>
        <w:pStyle w:val="Heading3"/>
      </w:pPr>
      <w:r>
        <w:rPr>
          <w:rFonts w:ascii="Times New Roman" w:hAnsi="Times New Roman"/>
        </w:rPr>
        <w:t>3.2 Vorsatz</w:t>
      </w:r>
    </w:p>
    <w:p>
      <w:pPr>
        <w:jc w:val="left"/>
      </w:pPr>
      <w:r>
        <w:t>§ 203 StGB setzt (nach h.M.) Vorsatz voraus. Dr. Rotbruch wusste, dass er Mandantendaten hochlud. Ob er wusste, dass dies ohne ausreichende rechtliche Absicherung geschah, ist eine Frage des Unrechtsbewusstseins. Ein Verbotsirrtum nach § 17 StGB wäre zwar denkbar, aber angesichts der seit 2017 einschlägigen Rechtslage und der anwaltlichen Fortbildungspflicht kaum unvermeidbar.</w:t>
      </w:r>
    </w:p>
    <w:p>
      <w:pPr>
        <w:pStyle w:val="Heading3"/>
      </w:pPr>
      <w:r>
        <w:rPr>
          <w:rFonts w:ascii="Times New Roman" w:hAnsi="Times New Roman"/>
        </w:rPr>
        <w:t>3.3 Ergebnis</w:t>
      </w:r>
    </w:p>
    <w:p>
      <w:pPr>
        <w:jc w:val="left"/>
      </w:pPr>
      <w:r>
        <w:t>Es besteht ein hinreichender Anfangsverdacht für eine Strafbarkeit nach § 203 Abs. 1 Nr. 3 StGB. Eine Strafanzeige wurde bisher nicht erstattet. Frau Habernau hat dies von RAin Dr. Wiesmann prüfen lassen; eine Entscheidung steht aus.</w:t>
      </w:r>
    </w:p>
    <w:p/>
    <w:p>
      <w:pPr>
        <w:pStyle w:val="Heading2"/>
      </w:pPr>
      <w:r>
        <w:rPr>
          <w:rFonts w:ascii="Times New Roman" w:hAnsi="Times New Roman"/>
        </w:rPr>
        <w:t>4. Berufsrechtliche Konsequenz</w:t>
      </w:r>
    </w:p>
    <w:p>
      <w:pPr>
        <w:jc w:val="left"/>
      </w:pPr>
      <w:r>
        <w:t>Im Rügeverfahren (Aktenstück 08) ist der Geheimnisschutzverstoß als Vorwurf Nr. 2 aufgeführt. Die Rechtsanwaltskammer Köln hat in vergleichbaren Fällen bisher keine Verweisung an den Staatsanwalt vorgenommen, jedoch die Rüge ausgesprochen und — bei mehrfachem Verstoß — eine Verweisung an das Anwaltsgericht in Betracht gezogen.</w:t>
      </w:r>
    </w:p>
    <w:p/>
    <w:p>
      <w:pPr>
        <w:pStyle w:val="Heading2"/>
      </w:pPr>
      <w:r>
        <w:rPr>
          <w:rFonts w:ascii="Times New Roman" w:hAnsi="Times New Roman"/>
        </w:rPr>
        <w:t>5. Empfehlungen Dr. Rotbruch</w:t>
      </w:r>
    </w:p>
    <w:p>
      <w:pPr>
        <w:pStyle w:val="ListNumber"/>
      </w:pPr>
      <w:r>
        <w:rPr>
          <w:b/>
        </w:rPr>
        <w:t>Unverzüglicher Abschluss eines Verschwiegenheitsvertrags</w:t>
      </w:r>
      <w:r>
        <w:t xml:space="preserve"> mit der LegalTech GmbH (zusätzlich zum AVV nach Art. 28 DSGVO).</w:t>
      </w:r>
    </w:p>
    <w:p>
      <w:pPr>
        <w:pStyle w:val="ListNumber"/>
      </w:pPr>
      <w:r>
        <w:rPr>
          <w:b/>
        </w:rPr>
        <w:t>Interne Anweisung:</w:t>
      </w:r>
      <w:r>
        <w:t xml:space="preserve"> KI-Systeme nur mit anonymisierten oder pseudonymisierten Mandantendaten befüttern; Namen, Adressen und Vermögensangaben vor dem Upload entfernen.</w:t>
      </w:r>
    </w:p>
    <w:p>
      <w:pPr>
        <w:pStyle w:val="ListNumber"/>
      </w:pPr>
      <w:r>
        <w:rPr>
          <w:b/>
        </w:rPr>
        <w:t>Überprüfung aller seit 2021 genutzten KI-Tools</w:t>
      </w:r>
      <w:r>
        <w:t xml:space="preserve"> auf vergleichbare Sicherheitslücken.</w:t>
      </w:r>
    </w:p>
    <w:p>
      <w:pPr>
        <w:pStyle w:val="ListNumber"/>
      </w:pPr>
      <w:r>
        <w:rPr>
          <w:b/>
        </w:rPr>
        <w:t>Selbstanzeige</w:t>
      </w:r>
      <w:r>
        <w:t xml:space="preserve"> bei der Rechtsanwaltskammer Köln erwägen, um kooperativen Umgang zu dokumentieren (strafmildernd in berufsrechtlichen Verfahren).</w:t>
      </w:r>
    </w:p>
    <w:p/>
    <w:p>
      <w:pPr>
        <w:jc w:val="left"/>
      </w:pPr>
      <w:r>
        <w:rPr>
          <w:b/>
        </w:rPr>
        <w:t>Quellen:</w:t>
      </w:r>
    </w:p>
    <w:p>
      <w:pPr>
        <w:pStyle w:val="ListBullet"/>
      </w:pPr>
      <w:r>
        <w:t>§ 203 StGB (dejure.org)</w:t>
      </w:r>
    </w:p>
    <w:p>
      <w:pPr>
        <w:pStyle w:val="ListBullet"/>
      </w:pPr>
      <w:r>
        <w:t>§ 43a BRAO (dejure.org)</w:t>
      </w:r>
    </w:p>
    <w:p>
      <w:pPr>
        <w:pStyle w:val="ListBullet"/>
      </w:pPr>
      <w:r>
        <w:t>§ 2 BRAO (dejure.org)</w:t>
      </w:r>
    </w:p>
    <w:p>
      <w:pPr>
        <w:pStyle w:val="ListBullet"/>
      </w:pPr>
      <w:r>
        <w:t>§ 17 StGB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