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Kammer-Rügeverfahren — § 73 BRAO, Rechtsanwaltskammer Köln</w:t>
      </w:r>
    </w:p>
    <w:p>
      <w:pPr>
        <w:jc w:val="left"/>
      </w:pPr>
      <w:r>
        <w:rPr>
          <w:b/>
        </w:rPr>
        <w:t>Akte:</w:t>
      </w:r>
      <w:r>
        <w:t xml:space="preserve"> Berufsrecht / KI-Vertragsprüfung — Kanzlei Rotbruch, Köln</w:t>
      </w:r>
    </w:p>
    <w:p>
      <w:pPr>
        <w:jc w:val="left"/>
      </w:pPr>
      <w:r>
        <w:rPr>
          <w:b/>
        </w:rPr>
        <w:t>Kammeraktenzeichen:</w:t>
      </w:r>
      <w:r>
        <w:t xml:space="preserve"> RAK-K 2026-0188</w:t>
      </w:r>
    </w:p>
    <w:p>
      <w:pPr>
        <w:jc w:val="left"/>
      </w:pPr>
      <w:r>
        <w:rPr>
          <w:b/>
        </w:rPr>
        <w:t>Stichtag Aktenstück:</w:t>
      </w:r>
      <w:r>
        <w:t xml:space="preserve"> 15. April 2026</w:t>
      </w:r>
    </w:p>
    <w:p/>
    <w:p>
      <w:pPr>
        <w:pStyle w:val="Heading2"/>
      </w:pPr>
      <w:r>
        <w:rPr>
          <w:rFonts w:ascii="Times New Roman" w:hAnsi="Times New Roman"/>
        </w:rPr>
        <w:t>1. Verfahrensgrundlage</w:t>
      </w:r>
    </w:p>
    <w:p>
      <w:pPr>
        <w:jc w:val="left"/>
      </w:pPr>
      <w:r>
        <w:t>Die Rechtsanwaltskammer Köln ist nach § 73 Abs. 2 Nr. 4 BRAO befugt, Mitgliedern gegenüber Rügen auszusprechen, wenn diese Berufspflichten verletzt haben. Das Rügeverfahren ist ein eigenständiges Verfahren, das unabhängig vom zivilrechtlichen Haftungsverfahren geführt wird. Bei besonderer Schwere der Pflichtverletzung kann der Vorstand die Angelegenheit gemäß § 74a BRAO an das Anwaltsgericht abgeben.</w:t>
      </w:r>
    </w:p>
    <w:p>
      <w:pPr>
        <w:jc w:val="left"/>
      </w:pPr>
      <w:r>
        <w:t>Grundlage des Verfahrens ist die Beschwerde von Frau Ulrike Habernau vom 28. Januar 2026, eingereicht schriftlich bei der Rechtsanwaltskammer Köln.</w:t>
      </w:r>
    </w:p>
    <w:p/>
    <w:p>
      <w:pPr>
        <w:pStyle w:val="Heading2"/>
      </w:pPr>
      <w:r>
        <w:rPr>
          <w:rFonts w:ascii="Times New Roman" w:hAnsi="Times New Roman"/>
        </w:rPr>
        <w:t>2. Vorwurfskatalog der Rechtsanwaltskammer</w:t>
      </w:r>
    </w:p>
    <w:p>
      <w:pPr>
        <w:jc w:val="left"/>
      </w:pPr>
      <w:r>
        <w:t>Die RAK Köln hat nach Prüfung der Beschwerde mit Schreiben vom 28. Februar 2026 (Az. RAK-K 2026-0188) folgende fünf Vorwürfe förmlich erhoben:</w:t>
      </w:r>
    </w:p>
    <w:p>
      <w:pPr>
        <w:pStyle w:val="Heading3"/>
      </w:pPr>
      <w:r>
        <w:rPr>
          <w:rFonts w:ascii="Times New Roman" w:hAnsi="Times New Roman"/>
        </w:rPr>
        <w:t>Vorwurf 1 — Ungeprüfter KI-Output als anwaltliche Leistung</w:t>
      </w:r>
    </w:p>
    <w:p>
      <w:pPr>
        <w:jc w:val="left"/>
      </w:pPr>
      <w:r>
        <w:t>Dr. Rotbruch hat den Output des KI-Tools JuristAssist Pro 5 ohne eigenverantwortliche Prüfung an die Mandantin weitergeleitet und als eigene anwaltliche Stellungnahme bezeichnet. Hierin liegt ein Verstoß gegen § 43a Abs. 1 BRAO (Pflicht zur gewissenhaften und eigenverantwortlichen Berufsausübung).</w:t>
      </w:r>
    </w:p>
    <w:p>
      <w:pPr>
        <w:jc w:val="left"/>
      </w:pPr>
      <w:r>
        <w:t>Besonders gravierend: Die Entfernung des KI-eigenen Warnhinweises vor der Weiterleitung begründet den Verdacht einer aktiven Irreführung der Mandantin.</w:t>
      </w:r>
    </w:p>
    <w:p>
      <w:pPr>
        <w:pStyle w:val="Heading3"/>
      </w:pPr>
      <w:r>
        <w:rPr>
          <w:rFonts w:ascii="Times New Roman" w:hAnsi="Times New Roman"/>
        </w:rPr>
        <w:t>Vorwurf 2 — Verletzung der Verschwiegenheitspflicht (§ 43a Abs. 2 BRAO, Art. 28 DSGVO)</w:t>
      </w:r>
    </w:p>
    <w:p>
      <w:pPr>
        <w:jc w:val="left"/>
      </w:pPr>
      <w:r>
        <w:t>Dr. Rotbruch hat Mandantendaten (personenbezogene und vertragsrelevante Inhalte) ohne Auftragsverarbeitungsvertrag nach Art. 28 DSGVO und ohne wirksame Verschwiegenheitsverpflichtung nach § 203 Abs. 3 Satz 2 StGB in das Cloud-System von JuristAssist Pro 5 (LegalTech GmbH) hochgeladen. Hierin liegt ein Verstoß gegen § 43a Abs. 2 BRAO sowie ein möglicher Verstoß gegen § 203 Abs. 1 Nr. 3 StGB.</w:t>
      </w:r>
    </w:p>
    <w:p>
      <w:pPr>
        <w:pStyle w:val="Heading3"/>
      </w:pPr>
      <w:r>
        <w:rPr>
          <w:rFonts w:ascii="Times New Roman" w:hAnsi="Times New Roman"/>
        </w:rPr>
        <w:t>Vorwurf 3 — Keine Aufklärung über KI-Einsatz (§ 43a Abs. 1 BRAO, § 4 BORA)</w:t>
      </w:r>
    </w:p>
    <w:p>
      <w:pPr>
        <w:jc w:val="left"/>
      </w:pPr>
      <w:r>
        <w:t>Frau Habernau wurde zu keinem Zeitpunkt darüber informiert, dass die Vertragsprüfung mithilfe eines KI-Tools durchgeführt wurde. Die AGB-Klausel ist kein wirksamer Ersatz für eine individuelle Aufklärung. Damit liegt ein Verstoß gegen die mandantenrechtliche Informationspflicht nach § 4 BORA i.V.m. § 43a Abs. 1 BRAO vor.</w:t>
      </w:r>
    </w:p>
    <w:p>
      <w:pPr>
        <w:pStyle w:val="Heading3"/>
      </w:pPr>
      <w:r>
        <w:rPr>
          <w:rFonts w:ascii="Times New Roman" w:hAnsi="Times New Roman"/>
        </w:rPr>
        <w:t>Vorwurf 4 — Unwirksame AGB-Klausel (§ 307 BGB)</w:t>
      </w:r>
    </w:p>
    <w:p>
      <w:pPr>
        <w:jc w:val="left"/>
      </w:pPr>
      <w:r>
        <w:t>Die Kanzlei-AGB enthielten eine nach § 307 Abs. 1 Satz 1 BGB unwirksame Klausel über den KI-Einsatz. Das Verwenden unwirksamer AGB-Klauseln im Mandatsverhältnis begründet eine berufsrechtliche Pflichtverletzung, wenn die Klausel geeignet ist, Mandantenrechte in einem wesentlichen Punkt zu beschneiden.</w:t>
      </w:r>
    </w:p>
    <w:p>
      <w:pPr>
        <w:pStyle w:val="Heading3"/>
      </w:pPr>
      <w:r>
        <w:rPr>
          <w:rFonts w:ascii="Times New Roman" w:hAnsi="Times New Roman"/>
        </w:rPr>
        <w:t>Vorwurf 5 — Erlöschen der Berufshaftpflicht (§ 51 BRAO)</w:t>
      </w:r>
    </w:p>
    <w:p>
      <w:pPr>
        <w:jc w:val="left"/>
      </w:pPr>
      <w:r>
        <w:t>Die Allianz Versicherung hat mitgeteilt, dass die Berufshaftpflichtversicherung für KI-bedingte Schäden nach § 4 Nr. 7 AVB Anwaltshaftpflicht 2023 ausgeschlossen ist. Da Dr. Rotbruch seit Einführung der Nachtragsbedingung im Juli 2023 weiterhin KI-Tools eingesetzt hat, besteht für die aktuell entstehenden und möglicherweise weiteren Schäden kein Versicherungsschutz. Dies stellt einen Verstoß gegen § 51 BRAO (Pflicht zur Aufrechterhaltung einer ausreichenden Berufshaftpflichtversicherung) dar.</w:t>
      </w:r>
    </w:p>
    <w:p/>
    <w:p>
      <w:pPr>
        <w:pStyle w:val="Heading2"/>
      </w:pPr>
      <w:r>
        <w:rPr>
          <w:rFonts w:ascii="Times New Roman" w:hAnsi="Times New Roman"/>
        </w:rPr>
        <w:t>3. Verfahrensablauf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Schritt</w:t>
            </w:r>
          </w:p>
        </w:tc>
      </w:tr>
      <w:tr>
        <w:tc>
          <w:tcPr>
            <w:tcW w:type="dxa" w:w="4536"/>
          </w:tcPr>
          <w:p>
            <w:r>
              <w:rPr>
                <w:rFonts w:ascii="Times New Roman" w:hAnsi="Times New Roman"/>
                <w:sz w:val="20"/>
              </w:rPr>
              <w:t>28.01.2026</w:t>
            </w:r>
          </w:p>
        </w:tc>
        <w:tc>
          <w:tcPr>
            <w:tcW w:type="dxa" w:w="4536"/>
          </w:tcPr>
          <w:p>
            <w:r>
              <w:rPr>
                <w:rFonts w:ascii="Times New Roman" w:hAnsi="Times New Roman"/>
                <w:sz w:val="20"/>
              </w:rPr>
              <w:t>Beschwerde Frau Habernau bei RAK Köln</w:t>
            </w:r>
          </w:p>
        </w:tc>
      </w:tr>
      <w:tr>
        <w:tc>
          <w:tcPr>
            <w:tcW w:type="dxa" w:w="4536"/>
          </w:tcPr>
          <w:p>
            <w:r>
              <w:rPr>
                <w:rFonts w:ascii="Times New Roman" w:hAnsi="Times New Roman"/>
                <w:sz w:val="20"/>
              </w:rPr>
              <w:t>12.02.2026</w:t>
            </w:r>
          </w:p>
        </w:tc>
        <w:tc>
          <w:tcPr>
            <w:tcW w:type="dxa" w:w="4536"/>
          </w:tcPr>
          <w:p>
            <w:r>
              <w:rPr>
                <w:rFonts w:ascii="Times New Roman" w:hAnsi="Times New Roman"/>
                <w:sz w:val="20"/>
              </w:rPr>
              <w:t>Einleitung Rügeverfahren durch Vorstand RAK Köln</w:t>
            </w:r>
          </w:p>
        </w:tc>
      </w:tr>
      <w:tr>
        <w:tc>
          <w:tcPr>
            <w:tcW w:type="dxa" w:w="4536"/>
          </w:tcPr>
          <w:p>
            <w:r>
              <w:rPr>
                <w:rFonts w:ascii="Times New Roman" w:hAnsi="Times New Roman"/>
                <w:sz w:val="20"/>
              </w:rPr>
              <w:t>28.02.2026</w:t>
            </w:r>
          </w:p>
        </w:tc>
        <w:tc>
          <w:tcPr>
            <w:tcW w:type="dxa" w:w="4536"/>
          </w:tcPr>
          <w:p>
            <w:r>
              <w:rPr>
                <w:rFonts w:ascii="Times New Roman" w:hAnsi="Times New Roman"/>
                <w:sz w:val="20"/>
              </w:rPr>
              <w:t>Anhörungsschreiben an Dr. Rotbruch (Frist: 4 Wochen)</w:t>
            </w:r>
          </w:p>
        </w:tc>
      </w:tr>
      <w:tr>
        <w:tc>
          <w:tcPr>
            <w:tcW w:type="dxa" w:w="4536"/>
          </w:tcPr>
          <w:p>
            <w:r>
              <w:rPr>
                <w:rFonts w:ascii="Times New Roman" w:hAnsi="Times New Roman"/>
                <w:sz w:val="20"/>
              </w:rPr>
              <w:t>15.03.2026</w:t>
            </w:r>
          </w:p>
        </w:tc>
        <w:tc>
          <w:tcPr>
            <w:tcW w:type="dxa" w:w="4536"/>
          </w:tcPr>
          <w:p>
            <w:r>
              <w:rPr>
                <w:rFonts w:ascii="Times New Roman" w:hAnsi="Times New Roman"/>
                <w:sz w:val="20"/>
              </w:rPr>
              <w:t xml:space="preserve">Erste Stellungnahme Dr. Rotbruch (s. DOCX </w:t>
            </w:r>
            <w:r>
              <w:rPr>
                <w:rFonts w:ascii="Times New Roman" w:hAnsi="Times New Roman"/>
                <w:sz w:val="20"/>
              </w:rPr>
              <w:t>stellungnahme_rak_koeln_ruegeverfahren.docx</w:t>
            </w:r>
            <w:r>
              <w:rPr>
                <w:rFonts w:ascii="Times New Roman" w:hAnsi="Times New Roman"/>
                <w:sz w:val="20"/>
              </w:rPr>
              <w:t>)</w:t>
            </w:r>
          </w:p>
        </w:tc>
      </w:tr>
      <w:tr>
        <w:tc>
          <w:tcPr>
            <w:tcW w:type="dxa" w:w="4536"/>
          </w:tcPr>
          <w:p>
            <w:r>
              <w:rPr>
                <w:rFonts w:ascii="Times New Roman" w:hAnsi="Times New Roman"/>
                <w:sz w:val="20"/>
              </w:rPr>
              <w:t>28.03.2026</w:t>
            </w:r>
          </w:p>
        </w:tc>
        <w:tc>
          <w:tcPr>
            <w:tcW w:type="dxa" w:w="4536"/>
          </w:tcPr>
          <w:p>
            <w:r>
              <w:rPr>
                <w:rFonts w:ascii="Times New Roman" w:hAnsi="Times New Roman"/>
                <w:sz w:val="20"/>
              </w:rPr>
              <w:t>Nachfragebrief RAK Köln zu Vorwürfen 2 und 5</w:t>
            </w:r>
          </w:p>
        </w:tc>
      </w:tr>
      <w:tr>
        <w:tc>
          <w:tcPr>
            <w:tcW w:type="dxa" w:w="4536"/>
          </w:tcPr>
          <w:p>
            <w:r>
              <w:rPr>
                <w:rFonts w:ascii="Times New Roman" w:hAnsi="Times New Roman"/>
                <w:sz w:val="20"/>
              </w:rPr>
              <w:t>15.04.2026</w:t>
            </w:r>
          </w:p>
        </w:tc>
        <w:tc>
          <w:tcPr>
            <w:tcW w:type="dxa" w:w="4536"/>
          </w:tcPr>
          <w:p>
            <w:r>
              <w:rPr>
                <w:rFonts w:ascii="Times New Roman" w:hAnsi="Times New Roman"/>
                <w:sz w:val="20"/>
              </w:rPr>
              <w:t>Frist Abschlussstellungnahme Dr. Rotbruch</w:t>
            </w:r>
          </w:p>
        </w:tc>
      </w:tr>
      <w:tr>
        <w:tc>
          <w:tcPr>
            <w:tcW w:type="dxa" w:w="4536"/>
          </w:tcPr>
          <w:p>
            <w:r>
              <w:rPr>
                <w:rFonts w:ascii="Times New Roman" w:hAnsi="Times New Roman"/>
                <w:sz w:val="20"/>
              </w:rPr>
              <w:t>Ca. 30.04.2026</w:t>
            </w:r>
          </w:p>
        </w:tc>
        <w:tc>
          <w:tcPr>
            <w:tcW w:type="dxa" w:w="4536"/>
          </w:tcPr>
          <w:p>
            <w:r>
              <w:rPr>
                <w:rFonts w:ascii="Times New Roman" w:hAnsi="Times New Roman"/>
                <w:sz w:val="20"/>
              </w:rPr>
              <w:t>Entscheidung Vorstand RAK Köln erwartet</w:t>
            </w:r>
          </w:p>
        </w:tc>
      </w:tr>
    </w:tbl>
    <w:p/>
    <w:p>
      <w:pPr>
        <w:pStyle w:val="Heading2"/>
      </w:pPr>
      <w:r>
        <w:rPr>
          <w:rFonts w:ascii="Times New Roman" w:hAnsi="Times New Roman"/>
        </w:rPr>
        <w:t>4. Mögliche Verfahrensausgänge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Ausgang</w:t>
            </w:r>
          </w:p>
        </w:tc>
        <w:tc>
          <w:tcPr>
            <w:tcW w:type="dxa" w:w="3024"/>
          </w:tcPr>
          <w:p>
            <w:r>
              <w:rPr>
                <w:rFonts w:ascii="Times New Roman" w:hAnsi="Times New Roman"/>
                <w:b/>
                <w:sz w:val="20"/>
              </w:rPr>
              <w:t>Voraussetzung</w:t>
            </w:r>
          </w:p>
        </w:tc>
        <w:tc>
          <w:tcPr>
            <w:tcW w:type="dxa" w:w="3024"/>
          </w:tcPr>
          <w:p>
            <w:r>
              <w:rPr>
                <w:rFonts w:ascii="Times New Roman" w:hAnsi="Times New Roman"/>
                <w:b/>
                <w:sz w:val="20"/>
              </w:rPr>
              <w:t>Rechtsfolge</w:t>
            </w:r>
          </w:p>
        </w:tc>
      </w:tr>
      <w:tr>
        <w:tc>
          <w:tcPr>
            <w:tcW w:type="dxa" w:w="3024"/>
          </w:tcPr>
          <w:p>
            <w:r>
              <w:rPr>
                <w:rFonts w:ascii="Times New Roman" w:hAnsi="Times New Roman"/>
                <w:sz w:val="20"/>
              </w:rPr>
              <w:t>Einstellung</w:t>
            </w:r>
          </w:p>
        </w:tc>
        <w:tc>
          <w:tcPr>
            <w:tcW w:type="dxa" w:w="3024"/>
          </w:tcPr>
          <w:p>
            <w:r>
              <w:rPr>
                <w:rFonts w:ascii="Times New Roman" w:hAnsi="Times New Roman"/>
                <w:sz w:val="20"/>
              </w:rPr>
              <w:t>Pflichtverletzung nicht erweislich oder geringfügig</w:t>
            </w:r>
          </w:p>
        </w:tc>
        <w:tc>
          <w:tcPr>
            <w:tcW w:type="dxa" w:w="3024"/>
          </w:tcPr>
          <w:p>
            <w:r>
              <w:rPr>
                <w:rFonts w:ascii="Times New Roman" w:hAnsi="Times New Roman"/>
                <w:sz w:val="20"/>
              </w:rPr>
              <w:t>Keine Sanktion</w:t>
            </w:r>
          </w:p>
        </w:tc>
      </w:tr>
      <w:tr>
        <w:tc>
          <w:tcPr>
            <w:tcW w:type="dxa" w:w="3024"/>
          </w:tcPr>
          <w:p>
            <w:r>
              <w:rPr>
                <w:rFonts w:ascii="Times New Roman" w:hAnsi="Times New Roman"/>
                <w:sz w:val="20"/>
              </w:rPr>
              <w:t>Rüge (§ 74 BRAO)</w:t>
            </w:r>
          </w:p>
        </w:tc>
        <w:tc>
          <w:tcPr>
            <w:tcW w:type="dxa" w:w="3024"/>
          </w:tcPr>
          <w:p>
            <w:r>
              <w:rPr>
                <w:rFonts w:ascii="Times New Roman" w:hAnsi="Times New Roman"/>
                <w:sz w:val="20"/>
              </w:rPr>
              <w:t>Pflichtverletzung erwiesen, Schwere gering bis mittel</w:t>
            </w:r>
          </w:p>
        </w:tc>
        <w:tc>
          <w:tcPr>
            <w:tcW w:type="dxa" w:w="3024"/>
          </w:tcPr>
          <w:p>
            <w:r>
              <w:rPr>
                <w:rFonts w:ascii="Times New Roman" w:hAnsi="Times New Roman"/>
                <w:sz w:val="20"/>
              </w:rPr>
              <w:t>Rüge (schriftlich), Aktenvermerk</w:t>
            </w:r>
          </w:p>
        </w:tc>
      </w:tr>
      <w:tr>
        <w:tc>
          <w:tcPr>
            <w:tcW w:type="dxa" w:w="3024"/>
          </w:tcPr>
          <w:p>
            <w:r>
              <w:rPr>
                <w:rFonts w:ascii="Times New Roman" w:hAnsi="Times New Roman"/>
                <w:sz w:val="20"/>
              </w:rPr>
              <w:t>Verweis an Anwaltsgericht (§ 74a BRAO)</w:t>
            </w:r>
          </w:p>
        </w:tc>
        <w:tc>
          <w:tcPr>
            <w:tcW w:type="dxa" w:w="3024"/>
          </w:tcPr>
          <w:p>
            <w:r>
              <w:rPr>
                <w:rFonts w:ascii="Times New Roman" w:hAnsi="Times New Roman"/>
                <w:sz w:val="20"/>
              </w:rPr>
              <w:t>Schwere Pflichtverletzung, mehrere Vorwürfe</w:t>
            </w:r>
          </w:p>
        </w:tc>
        <w:tc>
          <w:tcPr>
            <w:tcW w:type="dxa" w:w="3024"/>
          </w:tcPr>
          <w:p>
            <w:r>
              <w:rPr>
                <w:rFonts w:ascii="Times New Roman" w:hAnsi="Times New Roman"/>
                <w:sz w:val="20"/>
              </w:rPr>
              <w:t>Anwaltsgerichtliches Verfahren</w:t>
            </w:r>
          </w:p>
        </w:tc>
      </w:tr>
      <w:tr>
        <w:tc>
          <w:tcPr>
            <w:tcW w:type="dxa" w:w="3024"/>
          </w:tcPr>
          <w:p>
            <w:r>
              <w:rPr>
                <w:rFonts w:ascii="Times New Roman" w:hAnsi="Times New Roman"/>
                <w:sz w:val="20"/>
              </w:rPr>
              <w:t>Geldbuße (§ 114 Abs. 1 Nr. 3 BRAO)</w:t>
            </w:r>
          </w:p>
        </w:tc>
        <w:tc>
          <w:tcPr>
            <w:tcW w:type="dxa" w:w="3024"/>
          </w:tcPr>
          <w:p>
            <w:r>
              <w:rPr>
                <w:rFonts w:ascii="Times New Roman" w:hAnsi="Times New Roman"/>
                <w:sz w:val="20"/>
              </w:rPr>
              <w:t>Nur durch Anwaltsgericht</w:t>
            </w:r>
          </w:p>
        </w:tc>
        <w:tc>
          <w:tcPr>
            <w:tcW w:type="dxa" w:w="3024"/>
          </w:tcPr>
          <w:p>
            <w:r>
              <w:rPr>
                <w:rFonts w:ascii="Times New Roman" w:hAnsi="Times New Roman"/>
                <w:sz w:val="20"/>
              </w:rPr>
              <w:t>Bis 25.000 EUR</w:t>
            </w:r>
          </w:p>
        </w:tc>
      </w:tr>
      <w:tr>
        <w:tc>
          <w:tcPr>
            <w:tcW w:type="dxa" w:w="3024"/>
          </w:tcPr>
          <w:p>
            <w:r>
              <w:rPr>
                <w:rFonts w:ascii="Times New Roman" w:hAnsi="Times New Roman"/>
                <w:sz w:val="20"/>
              </w:rPr>
              <w:t>Berufsverbot (§ 114 Abs. 1 Nr. 4 BRAO)</w:t>
            </w:r>
          </w:p>
        </w:tc>
        <w:tc>
          <w:tcPr>
            <w:tcW w:type="dxa" w:w="3024"/>
          </w:tcPr>
          <w:p>
            <w:r>
              <w:rPr>
                <w:rFonts w:ascii="Times New Roman" w:hAnsi="Times New Roman"/>
                <w:sz w:val="20"/>
              </w:rPr>
              <w:t>Nur durch Anwaltsgericht, besonders schwerwiegend</w:t>
            </w:r>
          </w:p>
        </w:tc>
        <w:tc>
          <w:tcPr>
            <w:tcW w:type="dxa" w:w="3024"/>
          </w:tcPr>
          <w:p>
            <w:r>
              <w:rPr>
                <w:rFonts w:ascii="Times New Roman" w:hAnsi="Times New Roman"/>
                <w:sz w:val="20"/>
              </w:rPr>
              <w:t>1–5 Jahre</w:t>
            </w:r>
          </w:p>
        </w:tc>
      </w:tr>
    </w:tbl>
    <w:p>
      <w:pPr>
        <w:jc w:val="left"/>
      </w:pPr>
      <w:r>
        <w:t>Die RAK Köln hat nach Aktenlage noch keine abschließende Entscheidung über Rüge oder Verweis getroffen. Angesichts der fünf Vorwürfe, insbesondere des kombinierten datenschutzrechtlichen und berufsrechtlichen Verstoßes, erscheint eine Verweisung an das Anwaltsgericht nach § 74a BRAO nicht ausgeschlossen (dazu Aktenstück 09).</w:t>
      </w:r>
    </w:p>
    <w:p/>
    <w:p>
      <w:pPr>
        <w:pStyle w:val="Heading2"/>
      </w:pPr>
      <w:r>
        <w:rPr>
          <w:rFonts w:ascii="Times New Roman" w:hAnsi="Times New Roman"/>
        </w:rPr>
        <w:t>5. Stellungnahme Dr. Rotbruch (Zusammenfassung)</w:t>
      </w:r>
    </w:p>
    <w:p>
      <w:pPr>
        <w:jc w:val="left"/>
      </w:pPr>
      <w:r>
        <w:t>In seiner Stellungnahme vom 15. März 2026 macht Dr. Rotbruch im Wesentlichen geltend:</w:t>
      </w:r>
    </w:p>
    <w:p>
      <w:pPr>
        <w:pStyle w:val="ListBullet"/>
      </w:pPr>
      <w:r>
        <w:t>Das KI-Tool sei lediglich als „ergänzende Recherchehilfe" eingesetzt worden; die eigentliche Prüfung habe er eigenverantwortlich vorgenommen.</w:t>
      </w:r>
    </w:p>
    <w:p>
      <w:pPr>
        <w:pStyle w:val="ListBullet"/>
      </w:pPr>
      <w:r>
        <w:t>Die AGB-Klausel sei branchenüblich und ihm seien keine Bedenken bekannt gewesen.</w:t>
      </w:r>
    </w:p>
    <w:p>
      <w:pPr>
        <w:pStyle w:val="ListBullet"/>
      </w:pPr>
      <w:r>
        <w:t>Die Versicherungsablehnung durch die Allianz sei unberechtig und werde separat angefochten.</w:t>
      </w:r>
    </w:p>
    <w:p>
      <w:pPr>
        <w:pStyle w:val="ListBullet"/>
      </w:pPr>
      <w:r>
        <w:t>Eine bewusste Irreführung der Mandantin durch Entfernung des Warnhinweises bestreitet er; der Warnhinweis sei „aus Platzgründen" gestrichen worden.</w:t>
      </w:r>
    </w:p>
    <w:p>
      <w:pPr>
        <w:jc w:val="left"/>
      </w:pPr>
      <w:r>
        <w:t>Diese Darstellung ist in mehreren Punkten widersprüchlich zur Aktenlage (insbesondere zur 94-prozentigen Textübereinstimmung zwischen KI-Output und übersandtem Dokument).</w:t>
      </w:r>
    </w:p>
    <w:p/>
    <w:p>
      <w:pPr>
        <w:jc w:val="left"/>
      </w:pPr>
      <w:r>
        <w:rPr>
          <w:b/>
        </w:rPr>
        <w:t>Quellen:</w:t>
      </w:r>
    </w:p>
    <w:p>
      <w:pPr>
        <w:pStyle w:val="ListBullet"/>
      </w:pPr>
      <w:r>
        <w:t>§ 73 BRAO (dejure.org)</w:t>
      </w:r>
    </w:p>
    <w:p>
      <w:pPr>
        <w:pStyle w:val="ListBullet"/>
      </w:pPr>
      <w:r>
        <w:t>§ 74 BRAO (dejure.org)</w:t>
      </w:r>
    </w:p>
    <w:p>
      <w:pPr>
        <w:pStyle w:val="ListBullet"/>
      </w:pPr>
      <w:r>
        <w:t>§ 74a BRAO (dejure.org)</w:t>
      </w:r>
    </w:p>
    <w:p>
      <w:pPr>
        <w:pStyle w:val="ListBullet"/>
      </w:pPr>
      <w:r>
        <w:t>§ 51 BRAO (dejure.org)</w:t>
      </w:r>
    </w:p>
    <w:p>
      <w:pPr>
        <w:pStyle w:val="ListBullet"/>
      </w:pPr>
      <w:r>
        <w:t>§ 43a BRAO (dejure.org)</w:t>
      </w:r>
    </w:p>
    <w:p>
      <w:pPr>
        <w:pStyle w:val="ListBullet"/>
      </w:pPr>
      <w:r>
        <w:t>§ 4 BORA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