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09 Anwaltsgericht — § 114 BRAO, Strafmaßprüfung</w:t>
      </w:r>
    </w:p>
    <w:p>
      <w:pPr>
        <w:jc w:val="left"/>
      </w:pPr>
      <w:r>
        <w:rPr>
          <w:b/>
        </w:rPr>
        <w:t>Akte:</w:t>
      </w:r>
      <w:r>
        <w:t xml:space="preserve"> Berufsrecht / KI-Vertragsprüfung — Kanzlei Rotbruch, Köln</w:t>
      </w:r>
    </w:p>
    <w:p>
      <w:pPr>
        <w:jc w:val="left"/>
      </w:pPr>
      <w:r>
        <w:rPr>
          <w:b/>
        </w:rPr>
        <w:t>Stichtag Aktenstück:</w:t>
      </w:r>
      <w:r>
        <w:t xml:space="preserve"> 15. April 2026</w:t>
      </w:r>
    </w:p>
    <w:p/>
    <w:p>
      <w:pPr>
        <w:pStyle w:val="Heading2"/>
      </w:pPr>
      <w:r>
        <w:rPr>
          <w:rFonts w:ascii="Times New Roman" w:hAnsi="Times New Roman"/>
        </w:rPr>
        <w:t>1. Das anwaltsgerichtliche Verfahren</w:t>
      </w:r>
    </w:p>
    <w:p>
      <w:pPr>
        <w:jc w:val="left"/>
      </w:pPr>
      <w:r>
        <w:t>Wenn die Rechtsanwaltskammer die Sache nach § 74a BRAO an das Anwaltsgericht abgibt oder wenn die Staatsanwaltschaft Anklage erhebt, führt das Anwaltsgericht (beim OLG Köln, § 92 BRAO) das Verfahren durch. Zuständig ist das Anwaltsgericht Köln als erstinstanzliches Gericht (§ 92 Abs. 1 BRAO), mit Berufungsmöglichkeit zum Anwaltsgerichtshof NRW (§ 100 BRAO).</w:t>
      </w:r>
    </w:p>
    <w:p>
      <w:pPr>
        <w:jc w:val="left"/>
      </w:pPr>
      <w:r>
        <w:t>Das Verfahren richtet sich nach den Vorschriften der §§ 113–161 BRAO sowie der Strafprozessordnung, die subsidiär gilt. Der Angeschuldigte hat Anspruch auf Beiordnung eines Verteidigers (§ 136 BRAO).</w:t>
      </w:r>
    </w:p>
    <w:p/>
    <w:p>
      <w:pPr>
        <w:pStyle w:val="Heading2"/>
      </w:pPr>
      <w:r>
        <w:rPr>
          <w:rFonts w:ascii="Times New Roman" w:hAnsi="Times New Roman"/>
        </w:rPr>
        <w:t>2. Anwendbare Maßnahmen nach § 114 BRAO</w:t>
      </w:r>
    </w:p>
    <w:p>
      <w:pPr>
        <w:jc w:val="left"/>
      </w:pPr>
      <w:r>
        <w:t>§ 114 Abs. 1 BRAO sieht folgende anwaltsgerichtliche Maßnahmen vor:</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Nr.</w:t>
            </w:r>
          </w:p>
        </w:tc>
        <w:tc>
          <w:tcPr>
            <w:tcW w:type="dxa" w:w="3024"/>
          </w:tcPr>
          <w:p>
            <w:r>
              <w:rPr>
                <w:rFonts w:ascii="Times New Roman" w:hAnsi="Times New Roman"/>
                <w:b/>
                <w:sz w:val="20"/>
              </w:rPr>
              <w:t>Maßnahme</w:t>
            </w:r>
          </w:p>
        </w:tc>
        <w:tc>
          <w:tcPr>
            <w:tcW w:type="dxa" w:w="3024"/>
          </w:tcPr>
          <w:p>
            <w:r>
              <w:rPr>
                <w:rFonts w:ascii="Times New Roman" w:hAnsi="Times New Roman"/>
                <w:b/>
                <w:sz w:val="20"/>
              </w:rPr>
              <w:t>Regelfall</w:t>
            </w:r>
          </w:p>
        </w:tc>
      </w:tr>
      <w:tr>
        <w:tc>
          <w:tcPr>
            <w:tcW w:type="dxa" w:w="3024"/>
          </w:tcPr>
          <w:p>
            <w:r>
              <w:rPr>
                <w:rFonts w:ascii="Times New Roman" w:hAnsi="Times New Roman"/>
                <w:sz w:val="20"/>
              </w:rPr>
              <w:t>1</w:t>
            </w:r>
          </w:p>
        </w:tc>
        <w:tc>
          <w:tcPr>
            <w:tcW w:type="dxa" w:w="3024"/>
          </w:tcPr>
          <w:p>
            <w:r>
              <w:rPr>
                <w:rFonts w:ascii="Times New Roman" w:hAnsi="Times New Roman"/>
                <w:sz w:val="20"/>
              </w:rPr>
              <w:t>Warnung</w:t>
            </w:r>
          </w:p>
        </w:tc>
        <w:tc>
          <w:tcPr>
            <w:tcW w:type="dxa" w:w="3024"/>
          </w:tcPr>
          <w:p>
            <w:r>
              <w:rPr>
                <w:rFonts w:ascii="Times New Roman" w:hAnsi="Times New Roman"/>
                <w:sz w:val="20"/>
              </w:rPr>
              <w:t>Einmalige, geringfügige Pflichtverletzung</w:t>
            </w:r>
          </w:p>
        </w:tc>
      </w:tr>
      <w:tr>
        <w:tc>
          <w:tcPr>
            <w:tcW w:type="dxa" w:w="3024"/>
          </w:tcPr>
          <w:p>
            <w:r>
              <w:rPr>
                <w:rFonts w:ascii="Times New Roman" w:hAnsi="Times New Roman"/>
                <w:sz w:val="20"/>
              </w:rPr>
              <w:t>2</w:t>
            </w:r>
          </w:p>
        </w:tc>
        <w:tc>
          <w:tcPr>
            <w:tcW w:type="dxa" w:w="3024"/>
          </w:tcPr>
          <w:p>
            <w:r>
              <w:rPr>
                <w:rFonts w:ascii="Times New Roman" w:hAnsi="Times New Roman"/>
                <w:sz w:val="20"/>
              </w:rPr>
              <w:t>Verweis</w:t>
            </w:r>
          </w:p>
        </w:tc>
        <w:tc>
          <w:tcPr>
            <w:tcW w:type="dxa" w:w="3024"/>
          </w:tcPr>
          <w:p>
            <w:r>
              <w:rPr>
                <w:rFonts w:ascii="Times New Roman" w:hAnsi="Times New Roman"/>
                <w:sz w:val="20"/>
              </w:rPr>
              <w:t>Mittlere Pflichtverletzung</w:t>
            </w:r>
          </w:p>
        </w:tc>
      </w:tr>
      <w:tr>
        <w:tc>
          <w:tcPr>
            <w:tcW w:type="dxa" w:w="3024"/>
          </w:tcPr>
          <w:p>
            <w:r>
              <w:rPr>
                <w:rFonts w:ascii="Times New Roman" w:hAnsi="Times New Roman"/>
                <w:sz w:val="20"/>
              </w:rPr>
              <w:t>3</w:t>
            </w:r>
          </w:p>
        </w:tc>
        <w:tc>
          <w:tcPr>
            <w:tcW w:type="dxa" w:w="3024"/>
          </w:tcPr>
          <w:p>
            <w:r>
              <w:rPr>
                <w:rFonts w:ascii="Times New Roman" w:hAnsi="Times New Roman"/>
                <w:sz w:val="20"/>
              </w:rPr>
              <w:t>Geldbuße (bis 25.000 EUR)</w:t>
            </w:r>
          </w:p>
        </w:tc>
        <w:tc>
          <w:tcPr>
            <w:tcW w:type="dxa" w:w="3024"/>
          </w:tcPr>
          <w:p>
            <w:r>
              <w:rPr>
                <w:rFonts w:ascii="Times New Roman" w:hAnsi="Times New Roman"/>
                <w:sz w:val="20"/>
              </w:rPr>
              <w:t>Schwere oder wiederholte Verletzung</w:t>
            </w:r>
          </w:p>
        </w:tc>
      </w:tr>
      <w:tr>
        <w:tc>
          <w:tcPr>
            <w:tcW w:type="dxa" w:w="3024"/>
          </w:tcPr>
          <w:p>
            <w:r>
              <w:rPr>
                <w:rFonts w:ascii="Times New Roman" w:hAnsi="Times New Roman"/>
                <w:sz w:val="20"/>
              </w:rPr>
              <w:t>4</w:t>
            </w:r>
          </w:p>
        </w:tc>
        <w:tc>
          <w:tcPr>
            <w:tcW w:type="dxa" w:w="3024"/>
          </w:tcPr>
          <w:p>
            <w:r>
              <w:rPr>
                <w:rFonts w:ascii="Times New Roman" w:hAnsi="Times New Roman"/>
                <w:sz w:val="20"/>
              </w:rPr>
              <w:t>Verbot, auf bestimmten Rechtsgebieten tätig zu sein (1–5 J.)</w:t>
            </w:r>
          </w:p>
        </w:tc>
        <w:tc>
          <w:tcPr>
            <w:tcW w:type="dxa" w:w="3024"/>
          </w:tcPr>
          <w:p>
            <w:r>
              <w:rPr>
                <w:rFonts w:ascii="Times New Roman" w:hAnsi="Times New Roman"/>
                <w:sz w:val="20"/>
              </w:rPr>
              <w:t>Gefährdung von Mandanteninteressen</w:t>
            </w:r>
          </w:p>
        </w:tc>
      </w:tr>
      <w:tr>
        <w:tc>
          <w:tcPr>
            <w:tcW w:type="dxa" w:w="3024"/>
          </w:tcPr>
          <w:p>
            <w:r>
              <w:rPr>
                <w:rFonts w:ascii="Times New Roman" w:hAnsi="Times New Roman"/>
                <w:sz w:val="20"/>
              </w:rPr>
              <w:t>5</w:t>
            </w:r>
          </w:p>
        </w:tc>
        <w:tc>
          <w:tcPr>
            <w:tcW w:type="dxa" w:w="3024"/>
          </w:tcPr>
          <w:p>
            <w:r>
              <w:rPr>
                <w:rFonts w:ascii="Times New Roman" w:hAnsi="Times New Roman"/>
                <w:sz w:val="20"/>
              </w:rPr>
              <w:t>Ausschluss aus der Rechtsanwaltschaft</w:t>
            </w:r>
          </w:p>
        </w:tc>
        <w:tc>
          <w:tcPr>
            <w:tcW w:type="dxa" w:w="3024"/>
          </w:tcPr>
          <w:p>
            <w:r>
              <w:rPr>
                <w:rFonts w:ascii="Times New Roman" w:hAnsi="Times New Roman"/>
                <w:sz w:val="20"/>
              </w:rPr>
              <w:t>Schwerwiegende Verstöße, fehlendes Vertrauen</w:t>
            </w:r>
          </w:p>
        </w:tc>
      </w:tr>
    </w:tbl>
    <w:p/>
    <w:p>
      <w:pPr>
        <w:pStyle w:val="Heading2"/>
      </w:pPr>
      <w:r>
        <w:rPr>
          <w:rFonts w:ascii="Times New Roman" w:hAnsi="Times New Roman"/>
        </w:rPr>
        <w:t>3. Strafmaßprüfung im Fall Rotbruch</w:t>
      </w:r>
    </w:p>
    <w:p>
      <w:pPr>
        <w:pStyle w:val="Heading3"/>
      </w:pPr>
      <w:r>
        <w:rPr>
          <w:rFonts w:ascii="Times New Roman" w:hAnsi="Times New Roman"/>
        </w:rPr>
        <w:t>3.1 Schwere der Pflichtverletzungen</w:t>
      </w:r>
    </w:p>
    <w:p>
      <w:pPr>
        <w:jc w:val="left"/>
      </w:pPr>
      <w:r>
        <w:t>Im Fall Rotbruch liegen fünf kumulative Pflichtverletzungen vor (s. Aktenstück 08). Für die Strafmaßbemessung ist die Gesamtschau maßgeblich. Einschlägige Kriterien:</w:t>
      </w:r>
    </w:p>
    <w:p>
      <w:pPr>
        <w:pStyle w:val="ListBullet"/>
      </w:pPr>
      <w:r>
        <w:rPr>
          <w:b/>
        </w:rPr>
        <w:t>Anzahl der Verstöße:</w:t>
      </w:r>
      <w:r>
        <w:t xml:space="preserve"> Fünf eigenständig geprüfte Tatbestände sprechen gegen die Mindestmaßnahme (Warnung).</w:t>
      </w:r>
    </w:p>
    <w:p>
      <w:pPr>
        <w:pStyle w:val="ListBullet"/>
      </w:pPr>
      <w:r>
        <w:rPr>
          <w:b/>
        </w:rPr>
        <w:t>Schadensfolge:</w:t>
      </w:r>
      <w:r>
        <w:t xml:space="preserve"> Durch den Pflichtenverstoß entstand ein wirtschaftlicher Schaden von 187.000 EUR.</w:t>
      </w:r>
    </w:p>
    <w:p>
      <w:pPr>
        <w:pStyle w:val="ListBullet"/>
      </w:pPr>
      <w:r>
        <w:rPr>
          <w:b/>
        </w:rPr>
        <w:t>Persönliche Betroffenheit des Mandanten:</w:t>
      </w:r>
      <w:r>
        <w:t xml:space="preserve"> Frau Habernau ist als Pflegekraft mit geringem Einkommen auf den Versorgungsausgleich besonders angewiesen; der Schaden trifft sie in einem besonders vulnerablen Bereich.</w:t>
      </w:r>
    </w:p>
    <w:p>
      <w:pPr>
        <w:pStyle w:val="ListBullet"/>
      </w:pPr>
      <w:r>
        <w:rPr>
          <w:b/>
        </w:rPr>
        <w:t>Bewusstes Handeln:</w:t>
      </w:r>
      <w:r>
        <w:t xml:space="preserve"> Die Entfernung des Warnhinweises deutet auf eine zumindest bedingt vorsätzliche Irreführung hin.</w:t>
      </w:r>
    </w:p>
    <w:p>
      <w:pPr>
        <w:pStyle w:val="ListBullet"/>
      </w:pPr>
      <w:r>
        <w:rPr>
          <w:b/>
        </w:rPr>
        <w:t>Datenschutzverstoß:</w:t>
      </w:r>
      <w:r>
        <w:t xml:space="preserve"> Der Verstoß gegen § 43a Abs. 2 BRAO (kein AVV) hat Grundrechtsrelevanz (Art. 17 GG — informationelle Selbstbestimmung).</w:t>
      </w:r>
    </w:p>
    <w:p>
      <w:pPr>
        <w:pStyle w:val="Heading3"/>
      </w:pPr>
      <w:r>
        <w:rPr>
          <w:rFonts w:ascii="Times New Roman" w:hAnsi="Times New Roman"/>
        </w:rPr>
        <w:t>3.2 Mildernde Umstände</w:t>
      </w:r>
    </w:p>
    <w:p>
      <w:pPr>
        <w:pStyle w:val="ListBullet"/>
      </w:pPr>
      <w:r>
        <w:t>Dr. Rotbruch ist seit 1998 zugelassen und weist — bis zu diesem Verfahren — keine berufsrechtlichen Vorbelastungen auf.</w:t>
      </w:r>
    </w:p>
    <w:p>
      <w:pPr>
        <w:pStyle w:val="ListBullet"/>
      </w:pPr>
      <w:r>
        <w:t>Er hat sich grundsätzlich kooperativ verhalten und eine vollständige Akteneinsicht nicht verweigert.</w:t>
      </w:r>
    </w:p>
    <w:p>
      <w:pPr>
        <w:pStyle w:val="ListBullet"/>
      </w:pPr>
      <w:r>
        <w:t>Der Einsatz von KI-Tools war 2022 neuartig; klare Leitlinien fehlten.</w:t>
      </w:r>
    </w:p>
    <w:p>
      <w:pPr>
        <w:pStyle w:val="Heading3"/>
      </w:pPr>
      <w:r>
        <w:rPr>
          <w:rFonts w:ascii="Times New Roman" w:hAnsi="Times New Roman"/>
        </w:rPr>
        <w:t>3.3 Vorläufige Einschätzung</w:t>
      </w:r>
    </w:p>
    <w:p>
      <w:pPr>
        <w:jc w:val="left"/>
      </w:pPr>
      <w:r>
        <w:t>Bei Verweisung an das Anwaltsgericht erscheint nach vergleichbaren Entscheidungen (Anwaltsgericht Hamburg, Urt. v. 18. September 2019, AnwG Hamburg 1 ZU 8/18, openjur.de) eine Kombination aus Verweis (§ 114 Abs. 1 Nr. 2 BRAO) und Geldbuße (§ 114 Abs. 1 Nr. 3 BRAO) im Bereich von 8.000 bis 15.000 EUR realistisch.</w:t>
      </w:r>
    </w:p>
    <w:p>
      <w:pPr>
        <w:jc w:val="left"/>
      </w:pPr>
      <w:r>
        <w:t>Ein Tätigkeitsverbot (Nr. 4) ist derzeit nicht zu erwarten, könnte aber drohen, wenn sich herausstellt, dass weitere Mandate in vergleichbarer Weise KI-gestützt ohne Kontrolle abgearbeitet wurden.</w:t>
      </w:r>
    </w:p>
    <w:p/>
    <w:p>
      <w:pPr>
        <w:pStyle w:val="Heading2"/>
      </w:pPr>
      <w:r>
        <w:rPr>
          <w:rFonts w:ascii="Times New Roman" w:hAnsi="Times New Roman"/>
        </w:rPr>
        <w:t>4. Verhältnis zum Zivilverfahren</w:t>
      </w:r>
    </w:p>
    <w:p>
      <w:pPr>
        <w:jc w:val="left"/>
      </w:pPr>
      <w:r>
        <w:t>Das anwaltsgerichtliche Verfahren und das Zivilverfahren (LG Köln 2 O 188/26) sind voneinander unabhängig. Eine zivilrechtliche Verurteilung führt nicht automatisch zu einer anwaltsgerichtlichen Sanktion — umgekehrt gilt dasselbe. In der Praxis wird das Anwaltsgericht aber regelmäßig abwarten, bis eine rechtskräftige zivilrechtliche Entscheidung vorliegt, bevor es die Schwere des Pflichtenverstoßes abschließend bewertet.</w:t>
      </w:r>
    </w:p>
    <w:p/>
    <w:p>
      <w:pPr>
        <w:pStyle w:val="Heading2"/>
      </w:pPr>
      <w:r>
        <w:rPr>
          <w:rFonts w:ascii="Times New Roman" w:hAnsi="Times New Roman"/>
        </w:rPr>
        <w:t>5. Prozessuale Hinweise für Dr. Rotbruch</w:t>
      </w:r>
    </w:p>
    <w:p>
      <w:pPr>
        <w:pStyle w:val="ListNumber"/>
      </w:pPr>
      <w:r>
        <w:rPr>
          <w:b/>
        </w:rPr>
        <w:t>Verteidiger bestellen:</w:t>
      </w:r>
      <w:r>
        <w:t xml:space="preserve"> Auch im anwaltsgerichtlichen Verfahren ist anwaltliche Vertretung sinnvoll. Dr. Rotbruch kann sich selbst nicht vertreten (Interessenkonflikt).</w:t>
      </w:r>
    </w:p>
    <w:p>
      <w:pPr>
        <w:pStyle w:val="ListNumber"/>
      </w:pPr>
      <w:r>
        <w:rPr>
          <w:b/>
        </w:rPr>
        <w:t>Kooperationsstrategie:</w:t>
      </w:r>
      <w:r>
        <w:t xml:space="preserve"> Vollständige Offenlegung aller KI-bezogenen Vorgänge und Nachweis von Verbesserungsmaßnahmen können das Strafmaß senken.</w:t>
      </w:r>
    </w:p>
    <w:p>
      <w:pPr>
        <w:pStyle w:val="ListNumber"/>
      </w:pPr>
      <w:r>
        <w:rPr>
          <w:b/>
        </w:rPr>
        <w:t>Schadenswiedergutmachung:</w:t>
      </w:r>
      <w:r>
        <w:t xml:space="preserve"> Eine außergerichtliche Einigung mit Frau Habernau (§ 46a StGB-Analogie im Berufsrecht) kann strafmaßmindernd berücksichtigt werden.</w:t>
      </w:r>
    </w:p>
    <w:p>
      <w:pPr>
        <w:pStyle w:val="ListNumber"/>
      </w:pPr>
      <w:r>
        <w:rPr>
          <w:b/>
        </w:rPr>
        <w:t>Beschwerde gegen Rüge:</w:t>
      </w:r>
      <w:r>
        <w:t xml:space="preserve"> Sofern die RAK Köln eine Rüge ausspricht, kann Dr. Rotbruch innerhalb eines Monats Antrag auf anwaltsgerichtliche Entscheidung stellen (§ 74a BRAO). Dies führt zur Prüfung durch das Anwaltsgericht mit voller Beweisaufnahme.</w:t>
      </w:r>
    </w:p>
    <w:p/>
    <w:p>
      <w:pPr>
        <w:jc w:val="left"/>
      </w:pPr>
      <w:r>
        <w:rPr>
          <w:b/>
        </w:rPr>
        <w:t>Quellen:</w:t>
      </w:r>
    </w:p>
    <w:p>
      <w:pPr>
        <w:pStyle w:val="ListBullet"/>
      </w:pPr>
      <w:r>
        <w:t>§§ 113–161 BRAO (dejure.org)</w:t>
      </w:r>
    </w:p>
    <w:p>
      <w:pPr>
        <w:pStyle w:val="ListBullet"/>
      </w:pPr>
      <w:r>
        <w:t>§ 114 BRAO (dejure.org)</w:t>
      </w:r>
    </w:p>
    <w:p>
      <w:pPr>
        <w:pStyle w:val="ListBullet"/>
      </w:pPr>
      <w:r>
        <w:t>§ 92 BRAO (dejure.org)</w:t>
      </w:r>
    </w:p>
    <w:p>
      <w:pPr>
        <w:pStyle w:val="ListBullet"/>
      </w:pPr>
      <w:r>
        <w:t>§ 74a BRAO (dejure.org)</w:t>
      </w:r>
    </w:p>
    <w:p>
      <w:pPr>
        <w:pStyle w:val="ListBullet"/>
      </w:pPr>
      <w:r>
        <w:t>§ 100 BRAO (dejure.org)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