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Berufshaftpflicht und KI-Ausschlussklausel — Allianz Versicherung</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Pflicht zur Berufshaftpflichtversicherung (§ 51 BRAO)</w:t>
      </w:r>
    </w:p>
    <w:p>
      <w:pPr>
        <w:jc w:val="left"/>
      </w:pPr>
      <w:r>
        <w:t>Nach § 51 Abs. 1 BRAO ist jeder Rechtsanwalt verpflichtet, eine Berufshaftpflichtversicherung zur Deckung der sich aus seiner Berufstätigkeit ergebenden Haftpflichtgefahren abzuschließen und aufrechtzuerhalten. Die Mindestversicherungssumme beträgt nach § 51 Abs. 4 BRAO 250.000 EUR je Versicherungsfall.</w:t>
      </w:r>
    </w:p>
    <w:p>
      <w:pPr>
        <w:jc w:val="left"/>
      </w:pPr>
      <w:r>
        <w:t>Dr. Rotbruch unterhält eine Berufshaftpflichtversicherung bei der Allianz Versicherung AG (Police Nr. RB-2019-HH-44712). Die Versicherungssumme beträgt 500.000 EUR je Einzelschaden.</w:t>
      </w:r>
    </w:p>
    <w:p/>
    <w:p>
      <w:pPr>
        <w:pStyle w:val="Heading2"/>
      </w:pPr>
      <w:r>
        <w:rPr>
          <w:rFonts w:ascii="Times New Roman" w:hAnsi="Times New Roman"/>
        </w:rPr>
        <w:t>2. Die KI-Ausschlussklausel</w:t>
      </w:r>
    </w:p>
    <w:p>
      <w:pPr>
        <w:jc w:val="left"/>
      </w:pPr>
      <w:r>
        <w:t>Die Allianz führte in einem Nachtrag vom 1. Juli 2023 zur bestehenden Anwaltshaftpflichtpolice von Dr. Rotbruch eine neue Ausschlussklausel ein (§ 4 Nr. 7 AVB Anwaltshaftpflicht 2023):</w:t>
      </w:r>
    </w:p>
    <w:p>
      <w:pPr>
        <w:ind w:left="567"/>
      </w:pPr>
      <w:r>
        <w:rPr>
          <w:i/>
        </w:rPr>
        <w:t>„§ 4 Nr. 7 AVB: Nicht versichert sind Ansprüche, die aus der Nutzung von Systemen der künstlichen Intelligenz zur Erbringung von Rechtsberatungsleistungen entstehen, soweit der Versicherungsnehmer den Output dieser Systeme nicht durch eigenständige rechtliche Prüfung verifiziert hat, bevor er ihn dem Mandanten mitteilt."</w:t>
      </w:r>
    </w:p>
    <w:p>
      <w:pPr>
        <w:jc w:val="left"/>
      </w:pPr>
      <w:r>
        <w:t>Diese Klausel wurde Dr. Rotbruch mit dem Nachtrag zugesandt. Ob er sie tatsächlich zur Kenntnis genommen hat, ist streitig. Die Allianz behauptet, der Nachtrag sei per Einschreiben zugesandt worden. Dr. Rotbruch bestreitet den Erhalt.</w:t>
      </w:r>
    </w:p>
    <w:p/>
    <w:p>
      <w:pPr>
        <w:pStyle w:val="Heading2"/>
      </w:pPr>
      <w:r>
        <w:rPr>
          <w:rFonts w:ascii="Times New Roman" w:hAnsi="Times New Roman"/>
        </w:rPr>
        <w:t>3. Deckungsablehnung der Allianz</w:t>
      </w:r>
    </w:p>
    <w:p>
      <w:pPr>
        <w:jc w:val="left"/>
      </w:pPr>
      <w:r>
        <w:t xml:space="preserve">Mit Schreiben vom 10. März 2026 (s. Anlage </w:t>
      </w:r>
      <w:r>
        <w:t>emails/2026-03-10_allianz_versicherung_ki_klausel.eml</w:t>
      </w:r>
      <w:r>
        <w:t>) lehnte die Allianz Versicherung die Deckung des Schadens von Frau Habernau ab. Begründung:</w:t>
      </w:r>
    </w:p>
    <w:p>
      <w:pPr>
        <w:pStyle w:val="ListNumber"/>
      </w:pPr>
      <w:r>
        <w:t>Der Schaden sei durch Einsatz von JuristAssist Pro 5 ohne eigenständige Verifikation entstanden.</w:t>
      </w:r>
    </w:p>
    <w:p>
      <w:pPr>
        <w:pStyle w:val="ListNumber"/>
      </w:pPr>
      <w:r>
        <w:t>§ 4 Nr. 7 AVB Anwaltshaftpflicht 2023 schließe diesen Schaden aus.</w:t>
      </w:r>
    </w:p>
    <w:p>
      <w:pPr>
        <w:pStyle w:val="ListNumber"/>
      </w:pPr>
      <w:r>
        <w:t>Da der Schaden aus dem Mandatsverhältnis von 2022 stammt, der Nachtrag aber erst 2023 erfolgte, streitet Dr. Rotbruch für eine Auslegung, nach der der Versicherungsschutz rückwirkend nicht entfällt.</w:t>
      </w:r>
    </w:p>
    <w:p>
      <w:pPr>
        <w:pStyle w:val="Heading3"/>
      </w:pPr>
      <w:r>
        <w:rPr>
          <w:rFonts w:ascii="Times New Roman" w:hAnsi="Times New Roman"/>
        </w:rPr>
        <w:t>3.1 Zeitlicher Anwendungsbereich der Klausel</w:t>
      </w:r>
    </w:p>
    <w:p>
      <w:pPr>
        <w:jc w:val="left"/>
      </w:pPr>
      <w:r>
        <w:t>Die Ausschlussklausel gilt ab 1. Juli 2023 — dem Zeitpunkt ihres Inkrafttretens. Der schadensauslösende Mandatsfehler fand im März 2022 statt. Der Schaden ist jedoch ein Dauervorgang (fortlaufende Entbehrung des Versorgungsausgleichs), der bis zur Scheidung im Januar 2026 andauerte.</w:t>
      </w:r>
    </w:p>
    <w:p>
      <w:pPr>
        <w:jc w:val="left"/>
      </w:pPr>
      <w:r>
        <w:t>Die Allianz argumentiert nach dem Schadensereignisprinzip: Da Dr. Rotbruch auch nach Juli 2023 keine korrektiven Maßnahmen ergriffen habe (keine Aufklärung der Mandantin, kein Hinweis auf das Sittenwidrigkeitsrisiko), liege ein fortlaufender Pflichtverstoß vor, der auch in den Geltungszeitraum der neuen Klausel falle.</w:t>
      </w:r>
    </w:p>
    <w:p>
      <w:pPr>
        <w:jc w:val="left"/>
      </w:pPr>
      <w:r>
        <w:t>Dr. Rotbruch bestreitet dies und beauftragt den auf Versicherungsrecht spezialisierten RA Dr. Hartmann, Düsseldorf, mit der Prüfung eines Deckungsprozesses gegen die Allianz.</w:t>
      </w:r>
    </w:p>
    <w:p>
      <w:pPr>
        <w:pStyle w:val="Heading3"/>
      </w:pPr>
      <w:r>
        <w:rPr>
          <w:rFonts w:ascii="Times New Roman" w:hAnsi="Times New Roman"/>
        </w:rPr>
        <w:t>3.2 AGB-Kontrolle der Ausschlussklausel</w:t>
      </w:r>
    </w:p>
    <w:p>
      <w:pPr>
        <w:jc w:val="left"/>
      </w:pPr>
      <w:r>
        <w:t>Die Klausel des § 4 Nr. 7 AVB Anwaltshaftpflicht 2023 ist ihrerseits einer AGB-Kontrolle nach §§ 305 ff. BGB zugänglich, soweit es sich um eine B2B-Klausel handelt (§ 310 Abs. 1 BGB — eingeschränkte AGB-Kontrolle). Die Klausel könnte überraschend i.S.d. § 305c Abs. 1 BGB sein, wenn KI-Einsatz in der Anwaltschaft 2023 noch nicht derart verbreitet und vorhersehbar war, dass ein Ausschluss erwartbar war. Dies ist ein strittiger Punkt.</w:t>
      </w:r>
    </w:p>
    <w:p/>
    <w:p>
      <w:pPr>
        <w:pStyle w:val="Heading2"/>
      </w:pPr>
      <w:r>
        <w:rPr>
          <w:rFonts w:ascii="Times New Roman" w:hAnsi="Times New Roman"/>
        </w:rPr>
        <w:t>4. Folgen für Dr. Rotbruch</w:t>
      </w:r>
    </w:p>
    <w:p>
      <w:pPr>
        <w:pStyle w:val="Heading3"/>
      </w:pPr>
      <w:r>
        <w:rPr>
          <w:rFonts w:ascii="Times New Roman" w:hAnsi="Times New Roman"/>
        </w:rPr>
        <w:t>4.1 Persönliche Haftung</w:t>
      </w:r>
    </w:p>
    <w:p>
      <w:pPr>
        <w:jc w:val="left"/>
      </w:pPr>
      <w:r>
        <w:t>Wenn die Allianz die Deckung verweigert und Dr. Rotbruch den Rechtsstreit verliert, haftet er mit seinem Privatvermögen für den Schaden von bis zu 187.000 EUR. Bei einem Einzelanwalt mit den wirtschaftlichen Verhältnissen von Dr. Rotbruch stellt dies eine existenzielle Bedrohung dar.</w:t>
      </w:r>
    </w:p>
    <w:p>
      <w:pPr>
        <w:pStyle w:val="Heading3"/>
      </w:pPr>
      <w:r>
        <w:rPr>
          <w:rFonts w:ascii="Times New Roman" w:hAnsi="Times New Roman"/>
        </w:rPr>
        <w:t>4.2 Verstoß gegen § 51 BRAO</w:t>
      </w:r>
    </w:p>
    <w:p>
      <w:pPr>
        <w:jc w:val="left"/>
      </w:pPr>
      <w:r>
        <w:t>Die Rechtsanwaltskammer Köln hat im Rügeverfahren (Vorwurf 5) darauf hingewiesen, dass durch die KI-Ausschlussklausel faktisch ein Versicherungsschutzdefizit entstanden ist. Dieses Defizit liegt nicht daran, dass die Versicherungssumme zu gering ist, sondern daran, dass der versicherte Risikobereich durch den Ausschluss systematisch verkleinert wurde, ohne dass Dr. Rotbruch entsprechende Gegenmaßnahmen getroffen hat (z.B. Verzicht auf unkontrollierten KI-Einsatz oder Abschluss einer Zusatzversicherung).</w:t>
      </w:r>
    </w:p>
    <w:p>
      <w:pPr>
        <w:pStyle w:val="Heading3"/>
      </w:pPr>
      <w:r>
        <w:rPr>
          <w:rFonts w:ascii="Times New Roman" w:hAnsi="Times New Roman"/>
        </w:rPr>
        <w:t>4.3 Empfehlung</w:t>
      </w:r>
    </w:p>
    <w:p>
      <w:pPr>
        <w:jc w:val="left"/>
      </w:pPr>
      <w:r>
        <w:t>Dr. Rotbruch sollte:</w:t>
      </w:r>
    </w:p>
    <w:p>
      <w:pPr>
        <w:pStyle w:val="ListNumber"/>
      </w:pPr>
      <w:r>
        <w:t>Den Deckungsprozess gegen die Allianz prüfen (s. Aktenstück 19).</w:t>
      </w:r>
    </w:p>
    <w:p>
      <w:pPr>
        <w:pStyle w:val="ListNumber"/>
      </w:pPr>
      <w:r>
        <w:t>Alternativ oder zusätzlich eine KI-Haftpflicht-Ergänzungsversicherung abschließen.</w:t>
      </w:r>
    </w:p>
    <w:p>
      <w:pPr>
        <w:pStyle w:val="ListNumber"/>
      </w:pPr>
      <w:r>
        <w:t>Die Kammer unverzüglich über den laufenden Versicherungsstreit informieren.</w:t>
      </w:r>
    </w:p>
    <w:p/>
    <w:p>
      <w:pPr>
        <w:pStyle w:val="Heading2"/>
      </w:pPr>
      <w:r>
        <w:rPr>
          <w:rFonts w:ascii="Times New Roman" w:hAnsi="Times New Roman"/>
        </w:rPr>
        <w:t>5. Marktentwicklung KI-Haftpflicht</w:t>
      </w:r>
    </w:p>
    <w:p>
      <w:pPr>
        <w:jc w:val="left"/>
      </w:pPr>
      <w:r>
        <w:t>Seit 2023 bieten mehrere Versicherungsgesellschaften spezialisierte KI-Haftpflichtprodukte für Anwälte an. Diese decken typischerweise:</w:t>
      </w:r>
    </w:p>
    <w:p>
      <w:pPr>
        <w:pStyle w:val="ListBullet"/>
      </w:pPr>
      <w:r>
        <w:t>Schäden durch fehlerhafte KI-Outputs,</w:t>
      </w:r>
    </w:p>
    <w:p>
      <w:pPr>
        <w:pStyle w:val="ListBullet"/>
      </w:pPr>
      <w:r>
        <w:t>Datenschutzverletzungen im Zusammenhang mit Cloud-KI,</w:t>
      </w:r>
    </w:p>
    <w:p>
      <w:pPr>
        <w:pStyle w:val="ListBullet"/>
      </w:pPr>
      <w:r>
        <w:t>Kosten der Verteidigung in Kammer- und Anwaltsgerichtsverfahren.</w:t>
      </w:r>
    </w:p>
    <w:p>
      <w:pPr>
        <w:jc w:val="left"/>
      </w:pPr>
      <w:r>
        <w:t>Die Prämien liegen je nach Versicherungsvolumen zwischen 400 und 1.200 EUR/Jahr — ein vergleichsweise geringer Betrag im Verhältnis zu dem hier entstandenen Schadensrisiko.</w:t>
      </w:r>
    </w:p>
    <w:p/>
    <w:p>
      <w:pPr>
        <w:jc w:val="left"/>
      </w:pPr>
      <w:r>
        <w:rPr>
          <w:b/>
        </w:rPr>
        <w:t>Quellen:</w:t>
      </w:r>
    </w:p>
    <w:p>
      <w:pPr>
        <w:pStyle w:val="ListBullet"/>
      </w:pPr>
      <w:r>
        <w:t>§ 51 BRAO (dejure.org)</w:t>
      </w:r>
    </w:p>
    <w:p>
      <w:pPr>
        <w:pStyle w:val="ListBullet"/>
      </w:pPr>
      <w:r>
        <w:t>§ 305c BGB (dejure.org)</w:t>
      </w:r>
    </w:p>
    <w:p>
      <w:pPr>
        <w:pStyle w:val="ListBullet"/>
      </w:pPr>
      <w:r>
        <w:t>§ 307 BGB (dejure.org)</w:t>
      </w:r>
    </w:p>
    <w:p>
      <w:pPr>
        <w:pStyle w:val="ListBullet"/>
      </w:pPr>
      <w:r>
        <w:t>§ 310 BGB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