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AGB-Kontrolle — § 307 BGB, KI-Klausel in Kanzlei-AGB</w:t>
      </w:r>
    </w:p>
    <w:p>
      <w:pPr>
        <w:jc w:val="left"/>
      </w:pPr>
      <w:r>
        <w:rPr>
          <w:b/>
        </w:rPr>
        <w:t>Akte:</w:t>
      </w:r>
      <w:r>
        <w:t xml:space="preserve"> Berufsrecht / KI-Vertragsprüfung — Kanzlei Rotbruch, Köln</w:t>
      </w:r>
    </w:p>
    <w:p>
      <w:pPr>
        <w:jc w:val="left"/>
      </w:pPr>
      <w:r>
        <w:rPr>
          <w:b/>
        </w:rPr>
        <w:t>Stichtag Aktenstück:</w:t>
      </w:r>
      <w:r>
        <w:t xml:space="preserve"> 15. April 2026</w:t>
      </w:r>
    </w:p>
    <w:p/>
    <w:p>
      <w:pPr>
        <w:pStyle w:val="Heading2"/>
      </w:pPr>
      <w:r>
        <w:rPr>
          <w:rFonts w:ascii="Times New Roman" w:hAnsi="Times New Roman"/>
        </w:rPr>
        <w:t>1. Die streitige Klausel</w:t>
      </w:r>
    </w:p>
    <w:p>
      <w:pPr>
        <w:jc w:val="left"/>
      </w:pPr>
      <w:r>
        <w:t>Dr. Rotbruchs Kanzlei-AGB (Version 2021, Ziffer 8.3) enthielten folgende Klausel:</w:t>
      </w:r>
    </w:p>
    <w:p>
      <w:pPr>
        <w:ind w:left="567"/>
      </w:pPr>
      <w:r>
        <w:rPr>
          <w:i/>
        </w:rPr>
        <w:t>„Die Beratungsleistungen erfolgen unter Einsatz digitaler und KI-gestützter Hilfsmittel. Der Mandant erklärt sich hiermit einverstanden. Für Fehler im Output dieser Systeme haftet die Kanzlei nur bei grober Fahrlässigkeit."</w:t>
      </w:r>
    </w:p>
    <w:p>
      <w:pPr>
        <w:jc w:val="left"/>
      </w:pPr>
      <w:r>
        <w:t>Die Klausel enthält zwei separate Regelungen:</w:t>
      </w:r>
    </w:p>
    <w:p>
      <w:pPr>
        <w:pStyle w:val="ListBullet"/>
      </w:pPr>
      <w:r>
        <w:t>einen Informationspassus über den KI-Einsatz (Ziffer 8.3 Satz 1 und 2),</w:t>
      </w:r>
    </w:p>
    <w:p>
      <w:pPr>
        <w:pStyle w:val="ListBullet"/>
      </w:pPr>
      <w:r>
        <w:t>eine Haftungsbeschränkung (Ziffer 8.3 Satz 3).</w:t>
      </w:r>
    </w:p>
    <w:p/>
    <w:p>
      <w:pPr>
        <w:pStyle w:val="Heading2"/>
      </w:pPr>
      <w:r>
        <w:rPr>
          <w:rFonts w:ascii="Times New Roman" w:hAnsi="Times New Roman"/>
        </w:rPr>
        <w:t>2. AGB-rechtliche Prüfung</w:t>
      </w:r>
    </w:p>
    <w:p>
      <w:pPr>
        <w:pStyle w:val="Heading3"/>
      </w:pPr>
      <w:r>
        <w:rPr>
          <w:rFonts w:ascii="Times New Roman" w:hAnsi="Times New Roman"/>
        </w:rPr>
        <w:t>2.1 Einbeziehungskontrolle (§§ 305–305c BGB)</w:t>
      </w:r>
    </w:p>
    <w:p>
      <w:pPr>
        <w:jc w:val="left"/>
      </w:pPr>
      <w:r>
        <w:t>Die Kanzlei-AGB wurden dem Mandantenvertrag beigefügt und von Frau Habernau mit Unterschrift des Mandatsbriefs (7. März 2022) akzeptiert. Die formale Einbeziehung ist gegeben (§ 305 Abs. 2 BGB). Jedoch ist § 305c Abs. 1 BGB zu prüfen: Überraschende Klauseln werden nicht Vertragsbestandteil.</w:t>
      </w:r>
    </w:p>
    <w:p>
      <w:pPr>
        <w:jc w:val="left"/>
      </w:pPr>
      <w:r>
        <w:t>Eine Klausel, die in allgemeinen Kanzlei-AGB einen pauschalen KI-Einsatz erlaubt und die Haftung für KI-Fehler auf grobe Fahrlässigkeit beschränkt, war im Jahr 2022 als überraschend i.S.d. § 305c BGB anzusehen, weil:</w:t>
      </w:r>
    </w:p>
    <w:p>
      <w:pPr>
        <w:pStyle w:val="ListBullet"/>
      </w:pPr>
      <w:r>
        <w:t>KI-gestützte Rechtsberatung zu diesem Zeitpunkt für die Mehrheit der Rechtsuchenden unbekannt war,</w:t>
      </w:r>
    </w:p>
    <w:p>
      <w:pPr>
        <w:pStyle w:val="ListBullet"/>
      </w:pPr>
      <w:r>
        <w:t>eine Haftungsbeschränkung für KI-Fehler im anwaltlichen Mandatsverhältnis nicht dem Leitbild des § 675 BGB entspricht,</w:t>
      </w:r>
    </w:p>
    <w:p>
      <w:pPr>
        <w:pStyle w:val="ListBullet"/>
      </w:pPr>
      <w:r>
        <w:t>die Klausel an versteckter Stelle (Ziffer 8 von 10 AGB-Ziffern) platziert war.</w:t>
      </w:r>
    </w:p>
    <w:p>
      <w:pPr>
        <w:pStyle w:val="Heading3"/>
      </w:pPr>
      <w:r>
        <w:rPr>
          <w:rFonts w:ascii="Times New Roman" w:hAnsi="Times New Roman"/>
        </w:rPr>
        <w:t>2.2 Inhaltskontrolle — § 307 Abs. 1 Satz 1 BGB (unangemessene Benachteiligung)</w:t>
      </w:r>
    </w:p>
    <w:p>
      <w:pPr>
        <w:jc w:val="left"/>
      </w:pPr>
      <w:r>
        <w:t>Die Klausel benachteiligt den Mandanten unangemessen, weil sie:</w:t>
      </w:r>
    </w:p>
    <w:p>
      <w:pPr>
        <w:jc w:val="left"/>
      </w:pPr>
      <w:r>
        <w:rPr>
          <w:b/>
        </w:rPr>
        <w:t>a) Informationspassus:</w:t>
      </w:r>
      <w:r>
        <w:t xml:space="preserve"> Der Passus „erklärt sich hiermit einverstanden" suggeriert eine wirksame Einwilligung in die Datenweitergabe an KI-Systeme, ohne den Mandanten über Art, Umfang und Risiken zu informieren. Eine informierte Einwilligung i.S.d. Art. 7 DSGVO ist durch eine derartige Blankozustimmung in AGB nicht möglich. Die Klausel versucht, eine Pflicht (Art. 7 DSGVO: informierte, freiwillige, widerrufliche Einwilligung) durch eine Fiktion zu ersetzen.</w:t>
      </w:r>
    </w:p>
    <w:p>
      <w:pPr>
        <w:jc w:val="left"/>
      </w:pPr>
      <w:r>
        <w:rPr>
          <w:b/>
        </w:rPr>
        <w:t>b) Haftungsbeschränkung:</w:t>
      </w:r>
      <w:r>
        <w:t xml:space="preserve"> Die Beschränkung auf grobe Fahrlässigkeit für KI-Fehler widerspricht § 309 Nr. 7 lit. b BGB (für Verbraucher: Haftungsausschluss für sonstige Schäden aus der Verletzung wesentlicher Vertragspflichten bei grober Fahrlässigkeit unzulässig) sowie dem BGH-Maßstab zur anwaltlichen Haftung. Die eigenverantwortliche Vertragsprüfung ist eine Kardinalpflicht des Anwaltsvertrags; eine Haftungsbeschränkung hierfür widerspricht § 307 Abs. 2 Nr. 2 BGB (Klausel gefährdet die Erreichung des Vertragszwecks).</w:t>
      </w:r>
    </w:p>
    <w:p>
      <w:pPr>
        <w:pStyle w:val="Heading3"/>
      </w:pPr>
      <w:r>
        <w:rPr>
          <w:rFonts w:ascii="Times New Roman" w:hAnsi="Times New Roman"/>
        </w:rPr>
        <w:t>2.3 Transparenzgebot (§ 307 Abs. 1 Satz 2 BGB)</w:t>
      </w:r>
    </w:p>
    <w:p>
      <w:pPr>
        <w:jc w:val="left"/>
      </w:pPr>
      <w:r>
        <w:t>Die Klausel ist auch wegen Verstoßes gegen das Transparenzgebot unwirksam. Sie gibt keine Auskunft darüber:</w:t>
      </w:r>
    </w:p>
    <w:p>
      <w:pPr>
        <w:pStyle w:val="ListBullet"/>
      </w:pPr>
      <w:r>
        <w:t>welche KI-Systeme eingesetzt werden,</w:t>
      </w:r>
    </w:p>
    <w:p>
      <w:pPr>
        <w:pStyle w:val="ListBullet"/>
      </w:pPr>
      <w:r>
        <w:t>welche Daten übertragen werden,</w:t>
      </w:r>
    </w:p>
    <w:p>
      <w:pPr>
        <w:pStyle w:val="ListBullet"/>
      </w:pPr>
      <w:r>
        <w:t>welche Sicherheitsmaßnahmen bestehen,</w:t>
      </w:r>
    </w:p>
    <w:p>
      <w:pPr>
        <w:pStyle w:val="ListBullet"/>
      </w:pPr>
      <w:r>
        <w:t>wie der Mandant widersprechen kann.</w:t>
      </w:r>
    </w:p>
    <w:p/>
    <w:p>
      <w:pPr>
        <w:pStyle w:val="Heading2"/>
      </w:pPr>
      <w:r>
        <w:rPr>
          <w:rFonts w:ascii="Times New Roman" w:hAnsi="Times New Roman"/>
        </w:rPr>
        <w:t>3. Verbraucher- vs. Unternehmer-Mandant</w:t>
      </w:r>
    </w:p>
    <w:p>
      <w:pPr>
        <w:jc w:val="left"/>
      </w:pPr>
      <w:r>
        <w:t>Frau Habernau handelte als Verbraucherin i.S.d. § 13 BGB. Für Verbraucherverträge gilt die volle AGB-Kontrolle nach §§ 307–309 BGB. § 309 Nr. 7 lit. b BGB schließt Haftungsausschlüsse für grob fahrlässig verursachte typische Schäden aus. Die Klausel ist daher in ihrer Haftungsbeschränkungskomponente schon nach § 309 Nr. 7 lit. b BGB unwirksam.</w:t>
      </w:r>
    </w:p>
    <w:p/>
    <w:p>
      <w:pPr>
        <w:pStyle w:val="Heading2"/>
      </w:pPr>
      <w:r>
        <w:rPr>
          <w:rFonts w:ascii="Times New Roman" w:hAnsi="Times New Roman"/>
        </w:rPr>
        <w:t>4. Ergebnis</w:t>
      </w:r>
    </w:p>
    <w:p>
      <w:pPr>
        <w:jc w:val="left"/>
      </w:pPr>
      <w:r>
        <w:t>Die Klausel ist in beiden Teilen unwirksam: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Klauselteil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Unwirksamkeitsgrund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Informationspassus / Einwilligung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Überraschend, keine informierte Einwilligung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305c BGB, Art. 7 DSGVO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Haftungsbeschränkung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Benachteiligung, Verletzung Kardinalpflicht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307, 309 Nr. 7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Gesamtklausel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Verstoß Transparenzgebot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307 Abs. 1 Satz 2 BGB</w:t>
            </w:r>
          </w:p>
        </w:tc>
      </w:tr>
    </w:tbl>
    <w:p>
      <w:pPr>
        <w:jc w:val="left"/>
      </w:pPr>
      <w:r>
        <w:t>Als Rechtsfolge tritt die gesetzliche Regelung an die Stelle der unwirksamen Klausel: volle Haftung nach §§ 280, 675 BGB für jede Fahrlässigkeit; keine wirksame Einwilligung in KI-Datenweitergabe.</w:t>
      </w:r>
    </w:p>
    <w:p/>
    <w:p>
      <w:pPr>
        <w:pStyle w:val="Heading2"/>
      </w:pPr>
      <w:r>
        <w:rPr>
          <w:rFonts w:ascii="Times New Roman" w:hAnsi="Times New Roman"/>
        </w:rPr>
        <w:t>5. Praxishinweis</w:t>
      </w:r>
    </w:p>
    <w:p>
      <w:pPr>
        <w:jc w:val="left"/>
      </w:pPr>
      <w:r>
        <w:t>Eine wirksame Kanzlei-AGB-Klausel zum KI-Einsatz müsste mindestens enthalten:</w:t>
      </w:r>
    </w:p>
    <w:p>
      <w:pPr>
        <w:pStyle w:val="ListBullet"/>
      </w:pPr>
      <w:r>
        <w:t>Namen der eingesetzten KI-Systeme,</w:t>
      </w:r>
    </w:p>
    <w:p>
      <w:pPr>
        <w:pStyle w:val="ListBullet"/>
      </w:pPr>
      <w:r>
        <w:t>Art der verarbeiteten Mandantendaten,</w:t>
      </w:r>
    </w:p>
    <w:p>
      <w:pPr>
        <w:pStyle w:val="ListBullet"/>
      </w:pPr>
      <w:r>
        <w:t>Hinweis auf AVV nach Art. 28 DSGVO,</w:t>
      </w:r>
    </w:p>
    <w:p>
      <w:pPr>
        <w:pStyle w:val="ListBullet"/>
      </w:pPr>
      <w:r>
        <w:t>Widerrufsmöglichkeit des Mandanten,</w:t>
      </w:r>
    </w:p>
    <w:p>
      <w:pPr>
        <w:pStyle w:val="ListBullet"/>
      </w:pPr>
      <w:r>
        <w:t>keine Haftungsbeschränkung für Kardinalpflichten.</w:t>
      </w:r>
    </w:p>
    <w:p>
      <w:pPr>
        <w:jc w:val="left"/>
      </w:pPr>
      <w:r>
        <w:t>Die BRAK und der DAV haben im Jahr 2024 Muster-AGB-Klauseln für KI-Einsatz veröffentlicht. Dr. Rotbruch hätte diese nutzen können.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307 BGB (dejure.org)</w:t>
      </w:r>
    </w:p>
    <w:p>
      <w:pPr>
        <w:pStyle w:val="ListBullet"/>
      </w:pPr>
      <w:r>
        <w:t>§ 309 BGB (dejure.org)</w:t>
      </w:r>
    </w:p>
    <w:p>
      <w:pPr>
        <w:pStyle w:val="ListBullet"/>
      </w:pPr>
      <w:r>
        <w:t>§ 305c BGB (dejure.org)</w:t>
      </w:r>
    </w:p>
    <w:p>
      <w:pPr>
        <w:pStyle w:val="ListBullet"/>
      </w:pPr>
      <w:r>
        <w:t>§ 13 BGB (dejure.org)</w:t>
      </w:r>
    </w:p>
    <w:p>
      <w:pPr>
        <w:pStyle w:val="ListBullet"/>
      </w:pPr>
      <w:r>
        <w:t>Art. 7 DSGVO (EUR-Lex)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