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12 KI-Verordnung (EU AI Act) — Hochrisiko-KI im Rechtsbereich</w:t>
      </w:r>
    </w:p>
    <w:p>
      <w:pPr>
        <w:jc w:val="left"/>
      </w:pPr>
      <w:r>
        <w:rPr>
          <w:b/>
        </w:rPr>
        <w:t>Akte:</w:t>
      </w:r>
      <w:r>
        <w:t xml:space="preserve"> Berufsrecht / KI-Vertragsprüfung — Kanzlei Rotbruch, Köln</w:t>
      </w:r>
    </w:p>
    <w:p>
      <w:pPr>
        <w:jc w:val="left"/>
      </w:pPr>
      <w:r>
        <w:rPr>
          <w:b/>
        </w:rPr>
        <w:t>Stichtag Aktenstück:</w:t>
      </w:r>
      <w:r>
        <w:t xml:space="preserve"> 15. April 2026</w:t>
      </w:r>
    </w:p>
    <w:p/>
    <w:p>
      <w:pPr>
        <w:pStyle w:val="Heading2"/>
      </w:pPr>
      <w:r>
        <w:rPr>
          <w:rFonts w:ascii="Times New Roman" w:hAnsi="Times New Roman"/>
        </w:rPr>
        <w:t>1. Grundlagen der EU-Verordnung über künstliche Intelligenz</w:t>
      </w:r>
    </w:p>
    <w:p>
      <w:pPr>
        <w:jc w:val="left"/>
      </w:pPr>
      <w:r>
        <w:t>Die Verordnung (EU) 2024/1689 des Europäischen Parlaments und des Rates vom 13. Juni 2024 über künstliche Intelligenz — kurz KI-Verordnung oder EU AI Act — ist am 1. August 2024 in Kraft getreten (EUR-Lex). Sie ist stufenweise anwendbar:</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Geltungsbeginn</w:t>
            </w:r>
          </w:p>
        </w:tc>
        <w:tc>
          <w:tcPr>
            <w:tcW w:type="dxa" w:w="4536"/>
          </w:tcPr>
          <w:p>
            <w:r>
              <w:rPr>
                <w:rFonts w:ascii="Times New Roman" w:hAnsi="Times New Roman"/>
                <w:b/>
                <w:sz w:val="20"/>
              </w:rPr>
              <w:t>Inhalt</w:t>
            </w:r>
          </w:p>
        </w:tc>
      </w:tr>
      <w:tr>
        <w:tc>
          <w:tcPr>
            <w:tcW w:type="dxa" w:w="4536"/>
          </w:tcPr>
          <w:p>
            <w:r>
              <w:rPr>
                <w:rFonts w:ascii="Times New Roman" w:hAnsi="Times New Roman"/>
                <w:sz w:val="20"/>
              </w:rPr>
              <w:t>2. Februar 2025</w:t>
            </w:r>
          </w:p>
        </w:tc>
        <w:tc>
          <w:tcPr>
            <w:tcW w:type="dxa" w:w="4536"/>
          </w:tcPr>
          <w:p>
            <w:r>
              <w:rPr>
                <w:rFonts w:ascii="Times New Roman" w:hAnsi="Times New Roman"/>
                <w:sz w:val="20"/>
              </w:rPr>
              <w:t>Verbotene KI-Praktiken (Art. 5 KI-VO)</w:t>
            </w:r>
          </w:p>
        </w:tc>
      </w:tr>
      <w:tr>
        <w:tc>
          <w:tcPr>
            <w:tcW w:type="dxa" w:w="4536"/>
          </w:tcPr>
          <w:p>
            <w:r>
              <w:rPr>
                <w:rFonts w:ascii="Times New Roman" w:hAnsi="Times New Roman"/>
                <w:sz w:val="20"/>
              </w:rPr>
              <w:t>2. August 2025</w:t>
            </w:r>
          </w:p>
        </w:tc>
        <w:tc>
          <w:tcPr>
            <w:tcW w:type="dxa" w:w="4536"/>
          </w:tcPr>
          <w:p>
            <w:r>
              <w:rPr>
                <w:rFonts w:ascii="Times New Roman" w:hAnsi="Times New Roman"/>
                <w:sz w:val="20"/>
              </w:rPr>
              <w:t>Allgemeine KI-Modelle (Art. 51–56 KI-VO)</w:t>
            </w:r>
          </w:p>
        </w:tc>
      </w:tr>
      <w:tr>
        <w:tc>
          <w:tcPr>
            <w:tcW w:type="dxa" w:w="4536"/>
          </w:tcPr>
          <w:p>
            <w:r>
              <w:rPr>
                <w:rFonts w:ascii="Times New Roman" w:hAnsi="Times New Roman"/>
                <w:sz w:val="20"/>
              </w:rPr>
              <w:t>2. August 2026</w:t>
            </w:r>
          </w:p>
        </w:tc>
        <w:tc>
          <w:tcPr>
            <w:tcW w:type="dxa" w:w="4536"/>
          </w:tcPr>
          <w:p>
            <w:r>
              <w:rPr>
                <w:rFonts w:ascii="Times New Roman" w:hAnsi="Times New Roman"/>
                <w:sz w:val="20"/>
              </w:rPr>
              <w:t>Hochrisiko-KI (Art. 6–27 KI-VO), vollständige Anwendbarkeit</w:t>
            </w:r>
          </w:p>
        </w:tc>
      </w:tr>
    </w:tbl>
    <w:p>
      <w:pPr>
        <w:jc w:val="left"/>
      </w:pPr>
      <w:r>
        <w:t>Zum Zeitpunkt der Nutzung von JuristAssist Pro 5 durch Dr. Rotbruch (März 2022) war die KI-VO weder in Kraft getreten noch final verabschiedet. Die Verordnung hat damit für den historischen Sachverhalt keine unmittelbare Anwendbarkeit, ist jedoch für die zukünftige Nutzung und für die normative Einordnung des Risikoprofils relevant.</w:t>
      </w:r>
    </w:p>
    <w:p/>
    <w:p>
      <w:pPr>
        <w:pStyle w:val="Heading2"/>
      </w:pPr>
      <w:r>
        <w:rPr>
          <w:rFonts w:ascii="Times New Roman" w:hAnsi="Times New Roman"/>
        </w:rPr>
        <w:t>2. Einordnung von JuristAssist Pro 5 als Hochrisiko-KI</w:t>
      </w:r>
    </w:p>
    <w:p>
      <w:pPr>
        <w:pStyle w:val="Heading3"/>
      </w:pPr>
      <w:r>
        <w:rPr>
          <w:rFonts w:ascii="Times New Roman" w:hAnsi="Times New Roman"/>
        </w:rPr>
        <w:t>2.1 Anhang III der KI-VO</w:t>
      </w:r>
    </w:p>
    <w:p>
      <w:pPr>
        <w:jc w:val="left"/>
      </w:pPr>
      <w:r>
        <w:t>Anhang III der KI-VO listet Kategorien von KI-Systemen auf, die als Hochrisiko-KI gelten. Einschlägig ist:</w:t>
      </w:r>
    </w:p>
    <w:p>
      <w:pPr>
        <w:ind w:left="567"/>
      </w:pPr>
      <w:r>
        <w:rPr>
          <w:b/>
          <w:i/>
        </w:rPr>
        <w:t>Anhang III Nr. 8 lit. a:</w:t>
      </w:r>
      <w:r>
        <w:rPr>
          <w:i/>
        </w:rPr>
        <w:t xml:space="preserve"> KI-Systeme, die als Rechtshilfe für Justizbehörden zur Forschung und Auslegung von Fakten und Recht und zur Anwendung des Rechts auf konkrete Tatsachenkonstellationen bestimmt sind.</w:t>
      </w:r>
    </w:p>
    <w:p>
      <w:pPr>
        <w:jc w:val="left"/>
      </w:pPr>
      <w:r>
        <w:t>JuristAssist Pro 5 analysiert Rechtsdokumente (hier: Eheverträge) und gibt rechtliche Bewertungen ab, die in anwaltlichen Leistungen Verwendung finden. Diese Nutzung ist nach dem Wortlaut des Anhangs III Nr. 8 lit. a KI-VO als Hochrisiko einzuordnen, auch wenn sie nicht direkt für eine Justizbehörde bestimmt ist, sondern für eine Kanzlei. Die Auslegung des Begriffs „Rechtshilfe" umfasst nach dem Willen des Unionsgesetzgebers auch den Einsatz durch Rechtsanwälte als Organ der Rechtspflege (Erwägungsgrund 99 KI-VO).</w:t>
      </w:r>
    </w:p>
    <w:p>
      <w:pPr>
        <w:pStyle w:val="Heading3"/>
      </w:pPr>
      <w:r>
        <w:rPr>
          <w:rFonts w:ascii="Times New Roman" w:hAnsi="Times New Roman"/>
        </w:rPr>
        <w:t>2.2 Pflichten bei Hochrisiko-KI (Art. 8–15 KI-VO)</w:t>
      </w:r>
    </w:p>
    <w:p>
      <w:pPr>
        <w:jc w:val="left"/>
      </w:pPr>
      <w:r>
        <w:t>Für Anbieter von Hochrisiko-KI-Systemen (hier: LegalTech GmbH) gelten:</w:t>
      </w:r>
    </w:p>
    <w:p>
      <w:pPr>
        <w:pStyle w:val="ListBullet"/>
      </w:pPr>
      <w:r>
        <w:rPr>
          <w:b/>
        </w:rPr>
        <w:t>Risikomanagementsystem</w:t>
      </w:r>
      <w:r>
        <w:t xml:space="preserve"> (Art. 9 KI-VO): kontinuierliche Risikoidentifikation und -minderung</w:t>
      </w:r>
    </w:p>
    <w:p>
      <w:pPr>
        <w:pStyle w:val="ListBullet"/>
      </w:pPr>
      <w:r>
        <w:rPr>
          <w:b/>
        </w:rPr>
        <w:t>Datengovernance</w:t>
      </w:r>
      <w:r>
        <w:t xml:space="preserve"> (Art. 10 KI-VO): Qualität und Repräsentativität der Trainingsdaten</w:t>
      </w:r>
    </w:p>
    <w:p>
      <w:pPr>
        <w:pStyle w:val="ListBullet"/>
      </w:pPr>
      <w:r>
        <w:rPr>
          <w:b/>
        </w:rPr>
        <w:t>Technische Dokumentation</w:t>
      </w:r>
      <w:r>
        <w:t xml:space="preserve"> (Art. 11 KI-VO): vollständige Systemdokumentation</w:t>
      </w:r>
    </w:p>
    <w:p>
      <w:pPr>
        <w:pStyle w:val="ListBullet"/>
      </w:pPr>
      <w:r>
        <w:rPr>
          <w:b/>
        </w:rPr>
        <w:t>Transparenz und Nutzerinformation</w:t>
      </w:r>
      <w:r>
        <w:t xml:space="preserve"> (Art. 13 KI-VO): verständliche Gebrauchsanweisung</w:t>
      </w:r>
    </w:p>
    <w:p>
      <w:pPr>
        <w:pStyle w:val="ListBullet"/>
      </w:pPr>
      <w:r>
        <w:rPr>
          <w:b/>
        </w:rPr>
        <w:t>Menschliche Aufsicht</w:t>
      </w:r>
      <w:r>
        <w:t xml:space="preserve"> (Art. 14 KI-VO): technische Maßnahmen zur menschlichen Überwachung und Übersteuerung</w:t>
      </w:r>
    </w:p>
    <w:p>
      <w:pPr>
        <w:pStyle w:val="ListBullet"/>
      </w:pPr>
      <w:r>
        <w:rPr>
          <w:b/>
        </w:rPr>
        <w:t>Genauigkeit und Robustheit</w:t>
      </w:r>
      <w:r>
        <w:t xml:space="preserve"> (Art. 15 KI-VO): angemessene Performance-Standards</w:t>
      </w:r>
    </w:p>
    <w:p>
      <w:pPr>
        <w:pStyle w:val="ListBullet"/>
      </w:pPr>
      <w:r>
        <w:rPr>
          <w:b/>
        </w:rPr>
        <w:t>Konformitätsbewertung</w:t>
      </w:r>
      <w:r>
        <w:t xml:space="preserve"> (Art. 16 KI-VO): CE-Konformitätsverfahren vor Inverkehrbringen</w:t>
      </w:r>
    </w:p>
    <w:p>
      <w:pPr>
        <w:pStyle w:val="Heading3"/>
      </w:pPr>
      <w:r>
        <w:rPr>
          <w:rFonts w:ascii="Times New Roman" w:hAnsi="Times New Roman"/>
        </w:rPr>
        <w:t>2.3 Pflichten für Nutzer von Hochrisiko-KI (Art. 26 KI-VO)</w:t>
      </w:r>
    </w:p>
    <w:p>
      <w:pPr>
        <w:jc w:val="left"/>
      </w:pPr>
      <w:r>
        <w:t>Für Nutzer von Hochrisiko-KI (hier: Dr. Rotbruch als „Deployer" i.S.d. KI-VO) gelten ab August 2026:</w:t>
      </w:r>
    </w:p>
    <w:p>
      <w:pPr>
        <w:pStyle w:val="ListBullet"/>
      </w:pPr>
      <w:r>
        <w:t>Einsatz gemäß der Gebrauchsanweisung des Anbieters</w:t>
      </w:r>
    </w:p>
    <w:p>
      <w:pPr>
        <w:pStyle w:val="ListBullet"/>
      </w:pPr>
      <w:r>
        <w:t>Sicherstellung menschlicher Aufsicht</w:t>
      </w:r>
    </w:p>
    <w:p>
      <w:pPr>
        <w:pStyle w:val="ListBullet"/>
      </w:pPr>
      <w:r>
        <w:t>Überwachung auf anomales Verhalten des Systems</w:t>
      </w:r>
    </w:p>
    <w:p>
      <w:pPr>
        <w:pStyle w:val="ListBullet"/>
      </w:pPr>
      <w:r>
        <w:t>Information der betroffenen Personen über den KI-Einsatz (sofern es sich um ein Hochrisikosystem handelt)</w:t>
      </w:r>
    </w:p>
    <w:p>
      <w:pPr>
        <w:pStyle w:val="ListBullet"/>
      </w:pPr>
      <w:r>
        <w:t>Aufzeichnung der Nutzung (Logging-Pflicht)</w:t>
      </w:r>
    </w:p>
    <w:p/>
    <w:p>
      <w:pPr>
        <w:pStyle w:val="Heading2"/>
      </w:pPr>
      <w:r>
        <w:rPr>
          <w:rFonts w:ascii="Times New Roman" w:hAnsi="Times New Roman"/>
        </w:rPr>
        <w:t>3. Prospektive Bedeutung für die Kanzlei Rotbruch</w:t>
      </w:r>
    </w:p>
    <w:p>
      <w:pPr>
        <w:jc w:val="left"/>
      </w:pPr>
      <w:r>
        <w:t>Wenn Dr. Rotbruch JuristAssist Pro 5 oder ein vergleichbares System nach dem 2. August 2026 weiter einsetzt, ohne die KI-VO-Anforderungen zu erfüllen, riskiert er:</w:t>
      </w:r>
    </w:p>
    <w:p>
      <w:pPr>
        <w:pStyle w:val="ListBullet"/>
      </w:pPr>
      <w:r>
        <w:t>Bußgelder nach Art. 99 KI-VO von bis zu 15 Mio. EUR oder 3 Prozent des weltweiten Jahresumsatzes (bei Nutzern: 7,5 Mio. EUR oder 1 Prozent Jahresumsatz)</w:t>
      </w:r>
    </w:p>
    <w:p>
      <w:pPr>
        <w:pStyle w:val="ListBullet"/>
      </w:pPr>
      <w:r>
        <w:t>Marktaufsichtsmaßnahmen durch die zuständige nationale Behörde (in Deutschland: geplant beim BSI bzw. nach § 40 ff. KI-VODurchführungsgesetz)</w:t>
      </w:r>
    </w:p>
    <w:p>
      <w:pPr>
        <w:pStyle w:val="ListBullet"/>
      </w:pPr>
      <w:r>
        <w:t>Berufsrechtliche Konsequenzen, wenn der Verstoß die anwaltlichen Berufspflichten berührt</w:t>
      </w:r>
    </w:p>
    <w:p/>
    <w:p>
      <w:pPr>
        <w:pStyle w:val="Heading2"/>
      </w:pPr>
      <w:r>
        <w:rPr>
          <w:rFonts w:ascii="Times New Roman" w:hAnsi="Times New Roman"/>
        </w:rPr>
        <w:t>4. Anbieter LegalTech GmbH — Konformitätspflichten</w:t>
      </w:r>
    </w:p>
    <w:p>
      <w:pPr>
        <w:jc w:val="left"/>
      </w:pPr>
      <w:r>
        <w:t>Die LegalTech GmbH muss bis August 2026 eine Konformitätsbewertung nach Art. 16 KI-VO für JuristAssist Pro 5 abschließen. Das Produkt muss mit einem Artikel-11-konformen technischen Dossier und einer EU-Konformitätserklärung versehen werden. Ob dies erfolgt, ist derzeit unbekannt. Dr. Rotbruch sollte sich beim Anbieter erkundigen und die Konformitätsnachweise im Rahmen seiner Sorgfaltspflichten prüfen.</w:t>
      </w:r>
    </w:p>
    <w:p/>
    <w:p>
      <w:pPr>
        <w:pStyle w:val="Heading2"/>
      </w:pPr>
      <w:r>
        <w:rPr>
          <w:rFonts w:ascii="Times New Roman" w:hAnsi="Times New Roman"/>
        </w:rPr>
        <w:t>5. Gesamtbewertung</w:t>
      </w:r>
    </w:p>
    <w:p>
      <w:pPr>
        <w:jc w:val="left"/>
      </w:pPr>
      <w:r>
        <w:t>Die KI-VO schafft prospektiv einen verbindlichen Rechtsrahmen, der die im vorliegenden Fall festgestellten Mängel (fehlende menschliche Aufsicht, fehlende Nutzertransparenz, keine Logging-Dokumentation) als Rechtsverstöße qualifiziert. Auch wenn die Verordnung zum Zeitpunkt des Mandatsfehlers nicht anwendbar war, kann das Gericht (LG Köln) und die Rechtsanwaltskammer die KI-VO als Erkenntnisquelle für den objektiven Sorgfaltsstandard heranziehen.</w:t>
      </w:r>
    </w:p>
    <w:p/>
    <w:p>
      <w:pPr>
        <w:jc w:val="left"/>
      </w:pPr>
      <w:r>
        <w:rPr>
          <w:b/>
        </w:rPr>
        <w:t>Quellen:</w:t>
      </w:r>
    </w:p>
    <w:p>
      <w:pPr>
        <w:pStyle w:val="ListBullet"/>
      </w:pPr>
      <w:r>
        <w:t>Verordnung (EU) 2024/1689 (KI-VO) (EUR-Lex)</w:t>
      </w:r>
    </w:p>
    <w:p>
      <w:pPr>
        <w:pStyle w:val="ListBullet"/>
      </w:pPr>
      <w:r>
        <w:t>Anhang III KI-VO (EUR-Lex)</w:t>
      </w:r>
    </w:p>
    <w:p>
      <w:pPr>
        <w:pStyle w:val="ListBullet"/>
      </w:pPr>
      <w:r>
        <w:t>Art. 26 KI-VO — Pflichten von Deployers (EUR-Lex)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