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Aufsichtspflichtmangel und Kanzleiorganisation</w:t>
      </w:r>
    </w:p>
    <w:p>
      <w:pPr>
        <w:jc w:val="left"/>
      </w:pPr>
      <w:r>
        <w:rPr>
          <w:b/>
        </w:rPr>
        <w:t>Akte:</w:t>
      </w:r>
      <w:r>
        <w:t xml:space="preserve"> Berufsrecht / KI-Vertragsprüfung — Kanzlei Rotbruch, Köln</w:t>
      </w:r>
    </w:p>
    <w:p>
      <w:pPr>
        <w:jc w:val="left"/>
      </w:pPr>
      <w:r>
        <w:rPr>
          <w:b/>
        </w:rPr>
        <w:t>Stichtag Aktenstück:</w:t>
      </w:r>
      <w:r>
        <w:t xml:space="preserve"> 15. April 2026</w:t>
      </w:r>
    </w:p>
    <w:p/>
    <w:p>
      <w:pPr>
        <w:pStyle w:val="Heading2"/>
      </w:pPr>
      <w:r>
        <w:rPr>
          <w:rFonts w:ascii="Times New Roman" w:hAnsi="Times New Roman"/>
        </w:rPr>
        <w:t>1. Organisationspflichten in der Einzelkanzlei</w:t>
      </w:r>
    </w:p>
    <w:p>
      <w:pPr>
        <w:jc w:val="left"/>
      </w:pPr>
      <w:r>
        <w:t>Auch eine Einzelkanzlei ohne angestellte Rechtsanwälte unterliegt Organisationspflichten aus § 43a Abs. 1 BRAO und aus der allgemeinen Haftungsrechtsprechung des BGH. Der BGH hat in seinem Urteil vom 22. September 2011 (IX ZR 19/11) ausgeführt, dass der Anwalt so zu organisieren hat, dass Haftungsrisiken durch geeignete interne Verfahren minimiert werden.</w:t>
      </w:r>
    </w:p>
    <w:p>
      <w:pPr>
        <w:jc w:val="left"/>
      </w:pPr>
      <w:r>
        <w:t>Spezifisch für KI-Einsatz ergeben sich folgende Organisationspflichten: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Verfahrensanweisung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Schriftliche Regelung, wie KI-Outputs geprüft und freigegeben werden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Qualitätskontrolle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Checkliste oder Protokoll für jeden KI-gestützten Beratungsvorgang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Archivierung des KI-Outputs zusammen mit der eigenen Prüfnotiz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Internes Konzept für den Einsatz von Cloud-KI (TOMs, AVV-Management)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Fortbildung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Nachweise über KI-Fachkenntnisse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Defizite in der Kanzlei Rotbruch</w:t>
      </w:r>
    </w:p>
    <w:p>
      <w:pPr>
        <w:pStyle w:val="Heading3"/>
      </w:pPr>
      <w:r>
        <w:rPr>
          <w:rFonts w:ascii="Times New Roman" w:hAnsi="Times New Roman"/>
        </w:rPr>
        <w:t>2.1 Keine KI-Einsatzrichtlinie</w:t>
      </w:r>
    </w:p>
    <w:p>
      <w:pPr>
        <w:jc w:val="left"/>
      </w:pPr>
      <w:r>
        <w:t>Eine schriftliche Richtlinie zum Einsatz von KI-Tools existierte in der Kanzlei Rotbruch nicht. Weder für die Rechtsfachwirte (Frau Gromann, Herr Tkacz) noch für Dr. Rotbruch selbst gab es eine Anweisung, wie KI-Outputs zu behandeln sind.</w:t>
      </w:r>
    </w:p>
    <w:p>
      <w:pPr>
        <w:pStyle w:val="Heading3"/>
      </w:pPr>
      <w:r>
        <w:rPr>
          <w:rFonts w:ascii="Times New Roman" w:hAnsi="Times New Roman"/>
        </w:rPr>
        <w:t>2.2 Keine Qualitätssicherungsroutine</w:t>
      </w:r>
    </w:p>
    <w:p>
      <w:pPr>
        <w:jc w:val="left"/>
      </w:pPr>
      <w:r>
        <w:t>Im konkreten Fall wurde der KI-Output nicht mit einer eigenen Prüfnotiz versehen, bevor er an die Mandantin gesandt wurde. Lediglich drei handschriftliche Randnotizen — die auf allgemeines Einverständnis hindeuten — belegen eine minimale Auseinandersetzung mit dem Dokument. Eine strukturierte Qualitätsprüfung, z.B. anhand einer Checkliste, hat nicht stattgefunden.</w:t>
      </w:r>
    </w:p>
    <w:p>
      <w:pPr>
        <w:pStyle w:val="Heading3"/>
      </w:pPr>
      <w:r>
        <w:rPr>
          <w:rFonts w:ascii="Times New Roman" w:hAnsi="Times New Roman"/>
        </w:rPr>
        <w:t>2.3 Keine Dokumentation des KI-Einsatzes in der Handakte</w:t>
      </w:r>
    </w:p>
    <w:p>
      <w:pPr>
        <w:jc w:val="left"/>
      </w:pPr>
      <w:r>
        <w:t>§ 50 BRAO verpflichtet zur vollständigen Aktenführung. Die Handakte enthielt weder den KI-Output in seiner ursprünglichen Form noch eine Dokumentation, dass ein KI-Tool eingesetzt wurde, noch eine Notiz zu den eigenen Prüfungsschritten. In der Handakte befand sich nur die an die Mandantin gesandte (bereinigte) Version. Damit ist der KI-Ursprung des Dokuments aus der Akte selbst nicht nachvollziehbar — ein Verstoß gegen § 50 BRAO (dazu Aktenstück 15).</w:t>
      </w:r>
    </w:p>
    <w:p>
      <w:pPr>
        <w:pStyle w:val="Heading3"/>
      </w:pPr>
      <w:r>
        <w:rPr>
          <w:rFonts w:ascii="Times New Roman" w:hAnsi="Times New Roman"/>
        </w:rPr>
        <w:t>2.4 Fehlendes Vier-Augen-Prinzip</w:t>
      </w:r>
    </w:p>
    <w:p>
      <w:pPr>
        <w:jc w:val="left"/>
      </w:pPr>
      <w:r>
        <w:t>In einer Einzelkanzlei ist ein klassisches Vier-Augen-Prinzip zwar nicht realisierbar, aber funktional ersetzbar durch:</w:t>
      </w:r>
    </w:p>
    <w:p>
      <w:pPr>
        <w:pStyle w:val="ListBullet"/>
      </w:pPr>
      <w:r>
        <w:t>Zeitlicher Abstand zwischen KI-Generierung und eigenem Prüfdurchlauf</w:t>
      </w:r>
    </w:p>
    <w:p>
      <w:pPr>
        <w:pStyle w:val="ListBullet"/>
      </w:pPr>
      <w:r>
        <w:t>Gegenzeichnung einer Prüfcheckliste durch den Anwalt selbst</w:t>
      </w:r>
    </w:p>
    <w:p>
      <w:pPr>
        <w:pStyle w:val="ListBullet"/>
      </w:pPr>
      <w:r>
        <w:t>Peergespräch mit Kollegen bei komplexen Fragen</w:t>
      </w:r>
    </w:p>
    <w:p>
      <w:pPr>
        <w:jc w:val="left"/>
      </w:pPr>
      <w:r>
        <w:t>Nichts davon erfolgte. Dr. Rotbruch leitete den KI-Output am selben Tag nach Erhalt weiter.</w:t>
      </w:r>
    </w:p>
    <w:p/>
    <w:p>
      <w:pPr>
        <w:pStyle w:val="Heading2"/>
      </w:pPr>
      <w:r>
        <w:rPr>
          <w:rFonts w:ascii="Times New Roman" w:hAnsi="Times New Roman"/>
        </w:rPr>
        <w:t>3. Haftungsrechtliche Konsequenzen des Organisationsmangels</w:t>
      </w:r>
    </w:p>
    <w:p>
      <w:pPr>
        <w:jc w:val="left"/>
      </w:pPr>
      <w:r>
        <w:t>Der Organisationsmangel ist für die Haftungsfrage relevant, weil er zeigt, dass der Fehler kein zufälliges Versehen war, sondern Ausdruck eines systemischen Kontrollversagens. Nach der Rechtsprechung des BGH (IX ZR 189/09) kann ein Organisationsmangel im Anwaltsbetrieb eigenständig haftungsbegründend wirken, auch wenn der Einzelfehler für sich genommen noch nicht schwer genug wäre.</w:t>
      </w:r>
    </w:p>
    <w:p>
      <w:pPr>
        <w:jc w:val="left"/>
      </w:pPr>
      <w:r>
        <w:t>Für das Berufsrechtsverfahren ist der Organisationsmangel ein erschwerender Umstand: Er zeigt, dass die Pflichtverletzung nicht auf einem einmaligen Versehen, sondern auf einer dauerhaften und bewussten Praxis beruht.</w:t>
      </w:r>
    </w:p>
    <w:p/>
    <w:p>
      <w:pPr>
        <w:pStyle w:val="Heading2"/>
      </w:pPr>
      <w:r>
        <w:rPr>
          <w:rFonts w:ascii="Times New Roman" w:hAnsi="Times New Roman"/>
        </w:rPr>
        <w:t>4. Musterrichtlinie (Verweis)</w:t>
      </w:r>
    </w:p>
    <w:p>
      <w:pPr>
        <w:jc w:val="left"/>
      </w:pPr>
      <w:r>
        <w:t>Ein Entwurf einer KI-Einsatzrichtlinie für Kanzleien ist als Anlage beigefügt (</w:t>
      </w:r>
      <w:r>
        <w:t>docx/ki_einsatzrichtlinie_kanzlei_template.docx</w:t>
      </w:r>
      <w:r>
        <w:t>). Die Richtlinie enthält:</w:t>
      </w:r>
    </w:p>
    <w:p>
      <w:pPr>
        <w:pStyle w:val="ListBullet"/>
      </w:pPr>
      <w:r>
        <w:t>Mindeststandards für die Prüfung von KI-Outputs,</w:t>
      </w:r>
    </w:p>
    <w:p>
      <w:pPr>
        <w:pStyle w:val="ListBullet"/>
      </w:pPr>
      <w:r>
        <w:t>Checkliste für die Freigabe,</w:t>
      </w:r>
    </w:p>
    <w:p>
      <w:pPr>
        <w:pStyle w:val="ListBullet"/>
      </w:pPr>
      <w:r>
        <w:t>AVV-Managementprotokoll,</w:t>
      </w:r>
    </w:p>
    <w:p>
      <w:pPr>
        <w:pStyle w:val="ListBullet"/>
      </w:pPr>
      <w:r>
        <w:t>Pseudonymisierungsgebot für Cloud-Uploads,</w:t>
      </w:r>
    </w:p>
    <w:p>
      <w:pPr>
        <w:pStyle w:val="ListBullet"/>
      </w:pPr>
      <w:r>
        <w:t>Schulungsnachweispflicht.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43a BRAO (dejure.org)</w:t>
      </w:r>
    </w:p>
    <w:p>
      <w:pPr>
        <w:pStyle w:val="ListBullet"/>
      </w:pPr>
      <w:r>
        <w:t>§ 50 BRAO (dejure.org)</w:t>
      </w:r>
    </w:p>
    <w:p>
      <w:pPr>
        <w:pStyle w:val="ListBullet"/>
      </w:pPr>
      <w:r>
        <w:t>BGH IX ZR 19/11 (openjur.de)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