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14 Geschäftsgeheimnis und GeschGehG — Parallelaspekt Konkurrenten</w:t>
      </w:r>
    </w:p>
    <w:p>
      <w:pPr>
        <w:jc w:val="left"/>
      </w:pPr>
      <w:r>
        <w:rPr>
          <w:b/>
        </w:rPr>
        <w:t>Akte:</w:t>
      </w:r>
      <w:r>
        <w:t xml:space="preserve"> Berufsrecht / KI-Vertragsprüfung — Kanzlei Rotbruch, Köln</w:t>
      </w:r>
    </w:p>
    <w:p>
      <w:pPr>
        <w:jc w:val="left"/>
      </w:pPr>
      <w:r>
        <w:rPr>
          <w:b/>
        </w:rPr>
        <w:t>Stichtag Aktenstück:</w:t>
      </w:r>
      <w:r>
        <w:t xml:space="preserve"> 15. April 2026</w:t>
      </w:r>
    </w:p>
    <w:p/>
    <w:p>
      <w:pPr>
        <w:pStyle w:val="Heading2"/>
      </w:pPr>
      <w:r>
        <w:rPr>
          <w:rFonts w:ascii="Times New Roman" w:hAnsi="Times New Roman"/>
        </w:rPr>
        <w:t>1. Relevanz des GeschGehG</w:t>
      </w:r>
    </w:p>
    <w:p>
      <w:pPr>
        <w:jc w:val="left"/>
      </w:pPr>
      <w:r>
        <w:t>Das Gesetz zum Schutz von Geschäftsgeheimnissen (GeschGehG) vom 18. April 2019 setzt die EU-Richtlinie 2016/943 über den Schutz vertraulichen Know-hows und vertraulicher Geschäftsinformationen um. Es schützt Informationen, die:</w:t>
      </w:r>
    </w:p>
    <w:p>
      <w:pPr>
        <w:pStyle w:val="ListBullet"/>
      </w:pPr>
      <w:r>
        <w:t>geheim sind (nicht allgemein bekannt oder zugänglich),</w:t>
      </w:r>
    </w:p>
    <w:p>
      <w:pPr>
        <w:pStyle w:val="ListBullet"/>
      </w:pPr>
      <w:r>
        <w:t>einen kommerziellen Wert durch ihre Geheimhaltung haben und</w:t>
      </w:r>
    </w:p>
    <w:p>
      <w:pPr>
        <w:pStyle w:val="ListBullet"/>
      </w:pPr>
      <w:r>
        <w:t>durch angemessene Geheimhaltungsmaßnahmen geschützt werden.</w:t>
      </w:r>
    </w:p>
    <w:p>
      <w:pPr>
        <w:jc w:val="left"/>
      </w:pPr>
      <w:r>
        <w:t>Im vorliegenden Aktenkontext ist das GeschGehG unter zwei Aspekten relevant:</w:t>
      </w:r>
    </w:p>
    <w:p>
      <w:pPr>
        <w:pStyle w:val="ListNumber"/>
      </w:pPr>
      <w:r>
        <w:rPr>
          <w:b/>
        </w:rPr>
        <w:t>Schutz der Mandantendaten als Geschäftsgeheimnisse</w:t>
      </w:r>
      <w:r>
        <w:t xml:space="preserve"> (insbesondere Vermögensverhältnisse, Vertragskonditionen),</w:t>
      </w:r>
    </w:p>
    <w:p>
      <w:pPr>
        <w:pStyle w:val="ListNumber"/>
      </w:pPr>
      <w:r>
        <w:rPr>
          <w:b/>
        </w:rPr>
        <w:t>Schutz des KI-Systems des Anbieters</w:t>
      </w:r>
      <w:r>
        <w:t xml:space="preserve"> gegenüber Dritten, die Zugang zu den hochgeladenen Daten erlangen könnten.</w:t>
      </w:r>
    </w:p>
    <w:p/>
    <w:p>
      <w:pPr>
        <w:pStyle w:val="Heading2"/>
      </w:pPr>
      <w:r>
        <w:rPr>
          <w:rFonts w:ascii="Times New Roman" w:hAnsi="Times New Roman"/>
        </w:rPr>
        <w:t>2. Mandantendaten als Geschäftsgeheimnisse</w:t>
      </w:r>
    </w:p>
    <w:p>
      <w:pPr>
        <w:jc w:val="left"/>
      </w:pPr>
      <w:r>
        <w:t>Die Vermögensverhältnisse und Vertragsgestaltungen von Hans-Dieter Habernau stellen für ihn Geschäftsgeheimnisse i.S.d. § 2 Nr. 1 GeschGehG dar:</w:t>
      </w:r>
    </w:p>
    <w:p>
      <w:pPr>
        <w:pStyle w:val="ListBullet"/>
      </w:pPr>
      <w:r>
        <w:t>Sie sind nicht öffentlich bekannt (Geheimhaltungserfordernis erfüllt).</w:t>
      </w:r>
    </w:p>
    <w:p>
      <w:pPr>
        <w:pStyle w:val="ListBullet"/>
      </w:pPr>
      <w:r>
        <w:t>Sie haben wirtschaftlichen Wert (Verhandlungsposition bei Ehevertrag, Vermögensstruktur).</w:t>
      </w:r>
    </w:p>
    <w:p>
      <w:pPr>
        <w:pStyle w:val="ListBullet"/>
      </w:pPr>
      <w:r>
        <w:t>Er hat angemessene Schutzmaßnahmen getroffen (nur dem Notar und den beteiligten Anwälten offenbart).</w:t>
      </w:r>
    </w:p>
    <w:p>
      <w:pPr>
        <w:jc w:val="left"/>
      </w:pPr>
      <w:r>
        <w:t>Durch das Hochladen der Daten in das Cloud-System der LegalTech GmbH hat Dr. Rotbruch diese Daten einem Dritten zugänglich gemacht, der weder von Frau Habernau noch — mangels wirksamer Vollmacht — von Hans-Dieter Habernau hierzu ermächtigt war. Damit besteht eine mögliche Verletzungshandlung nach § 4 GeschGehG (rechtswidrige Erlangung und Offenlegung).</w:t>
      </w:r>
    </w:p>
    <w:p>
      <w:pPr>
        <w:jc w:val="left"/>
      </w:pPr>
      <w:r>
        <w:t>Praktische Konsequenz: Hans-Dieter Habernau könnte aus dem GeschGehG eigenständige Ansprüche gegen Dr. Rotbruch und gegen die LegalTech GmbH geltend machen (§ 6 GeschGehG: Beseitigung und Unterlassung; § 10 GeschGehG: Schadensersatz). Bisher hat Hans-Dieter Habernau keine solchen Schritte eingeleitet; dies bleibt im Blickfeld.</w:t>
      </w:r>
    </w:p>
    <w:p/>
    <w:p>
      <w:pPr>
        <w:pStyle w:val="Heading2"/>
      </w:pPr>
      <w:r>
        <w:rPr>
          <w:rFonts w:ascii="Times New Roman" w:hAnsi="Times New Roman"/>
        </w:rPr>
        <w:t>3. KI-System als Geschäftsgeheimnis — Perspektive des Anbieters</w:t>
      </w:r>
    </w:p>
    <w:p>
      <w:pPr>
        <w:jc w:val="left"/>
      </w:pPr>
      <w:r>
        <w:t>Die LegalTech GmbH betrachtet die internen Algorithmen, das Trainingskorpus und die Parameterstruktur von JuristAssist Pro 5 als Geschäftsgeheimnis. Im Kontext des vorliegenden Verfahrens hat RAin Dr. Wiesmann einen Beweissicherungsantrag gestellt, der unter anderem die Offenlegung der Systemarchitektur und der Verarbeitungsprotokolle von JuristAssist Pro 5 für den 21. März 2022 beinhaltet.</w:t>
      </w:r>
    </w:p>
    <w:p>
      <w:pPr>
        <w:jc w:val="left"/>
      </w:pPr>
      <w:r>
        <w:t>Die LegalTech GmbH hat sich auf das GeschGehG berufen und eine Offenlegung abgelehnt. Das LG Köln wird im Rahmen des Hauptverfahrens entscheiden müssen, ob die Verarbeitungsprotokolle (Logs) als Beweismittel erzwungen werden können (§ 16 GeschGehG: Geheimhaltung im Gerichtsverfahren, § 421 ZPO).</w:t>
      </w:r>
    </w:p>
    <w:p/>
    <w:p>
      <w:pPr>
        <w:pStyle w:val="Heading2"/>
      </w:pPr>
      <w:r>
        <w:rPr>
          <w:rFonts w:ascii="Times New Roman" w:hAnsi="Times New Roman"/>
        </w:rPr>
        <w:t>4. Interessenkonflikt zwischen Mandantenschutz und KI-Transparenz</w:t>
      </w:r>
    </w:p>
    <w:p>
      <w:pPr>
        <w:jc w:val="left"/>
      </w:pPr>
      <w:r>
        <w:t>Die Situation illustriert einen grundsätzlichen Interessenkonflikt:</w:t>
      </w:r>
    </w:p>
    <w:p>
      <w:pPr>
        <w:pStyle w:val="ListBullet"/>
      </w:pPr>
      <w:r>
        <w:t>Auf der einen Seite steht das Interesse der Klägerin Habernau, nachzuweisen, dass der KI-Output fehlerhaft war und dass Dr. Rotbruch ihn unkritisch weitergeleitet hat.</w:t>
      </w:r>
    </w:p>
    <w:p>
      <w:pPr>
        <w:pStyle w:val="ListBullet"/>
      </w:pPr>
      <w:r>
        <w:t>Auf der anderen Seite steht das Geschäftsgeheimnis der LegalTech GmbH, die eine vollständige Offenlegung ihres Systems vermeiden will.</w:t>
      </w:r>
    </w:p>
    <w:p>
      <w:pPr>
        <w:jc w:val="left"/>
      </w:pPr>
      <w:r>
        <w:t>Der EU AI Act (Art. 86 KI-VO) enthält eine Sonderregelung, nach der betroffene Personen bei Hochrisiko-KI-Systemen ein Recht auf „aussagekräftige Erklärungen" über die automatisierte Entscheidung haben. Ob dies auf den vorliegenden Fall anwendbar ist (noch nicht in Kraft im Jahr 2022), bleibt zu prüfen; de lege ferenda ist die Transparenzpflicht jedoch klar.</w:t>
      </w:r>
    </w:p>
    <w:p/>
    <w:p>
      <w:pPr>
        <w:pStyle w:val="Heading2"/>
      </w:pPr>
      <w:r>
        <w:rPr>
          <w:rFonts w:ascii="Times New Roman" w:hAnsi="Times New Roman"/>
        </w:rPr>
        <w:t>5. Ergebnis</w:t>
      </w:r>
    </w:p>
    <w:p>
      <w:pPr>
        <w:jc w:val="left"/>
      </w:pPr>
      <w:r>
        <w:t>Das GeschGehG schafft im vorliegenden Fall eine zusätzliche Risikoschicht: Neben der anwaltsrechtlichen und datenschutzrechtlichen Haftung drohen Dr. Rotbruch und der LegalTech GmbH auch wettbewerbsrechtliche Ansprüche nach dem GeschGehG. Die Verarbeitungsprotokolle des KI-Systems sind zentrales Beweismittel im Zivilprozess und gleichzeitig Gegenstand des GeschGehG-Schutzes des Anbieters — eine Spannung, die das Gericht mit den Mitteln der §§ 16 ff. GeschGehG und der ZPO auflösen muss.</w:t>
      </w:r>
    </w:p>
    <w:p/>
    <w:p>
      <w:pPr>
        <w:jc w:val="left"/>
      </w:pPr>
      <w:r>
        <w:rPr>
          <w:b/>
        </w:rPr>
        <w:t>Quellen:</w:t>
      </w:r>
    </w:p>
    <w:p>
      <w:pPr>
        <w:pStyle w:val="ListBullet"/>
      </w:pPr>
      <w:r>
        <w:t>GeschGehG — Gesetz zum Schutz von Geschäftsgeheimnissen (dejure.org)</w:t>
      </w:r>
    </w:p>
    <w:p>
      <w:pPr>
        <w:pStyle w:val="ListBullet"/>
      </w:pPr>
      <w:r>
        <w:t>§ 2 GeschGehG (dejure.org)</w:t>
      </w:r>
    </w:p>
    <w:p>
      <w:pPr>
        <w:pStyle w:val="ListBullet"/>
      </w:pPr>
      <w:r>
        <w:t>§ 4 GeschGehG (dejure.org)</w:t>
      </w:r>
    </w:p>
    <w:p>
      <w:pPr>
        <w:pStyle w:val="ListBullet"/>
      </w:pPr>
      <w:r>
        <w:t>§ 10 GeschGehG (dejure.org)</w:t>
      </w:r>
    </w:p>
    <w:p>
      <w:pPr>
        <w:pStyle w:val="ListBullet"/>
      </w:pPr>
      <w:r>
        <w:t>Art. 86 KI-VO (EUR-Lex)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