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15 Dokumentationspflicht und Aktenführung — § 50 BRAO</w:t>
      </w:r>
    </w:p>
    <w:p>
      <w:pPr>
        <w:jc w:val="left"/>
      </w:pPr>
      <w:r>
        <w:rPr>
          <w:b/>
        </w:rPr>
        <w:t>Akte:</w:t>
      </w:r>
      <w:r>
        <w:t xml:space="preserve"> Berufsrecht / KI-Vertragsprüfung — Kanzlei Rotbruch, Köln</w:t>
      </w:r>
    </w:p>
    <w:p>
      <w:pPr>
        <w:jc w:val="left"/>
      </w:pPr>
      <w:r>
        <w:rPr>
          <w:b/>
        </w:rPr>
        <w:t>Stichtag Aktenstück:</w:t>
      </w:r>
      <w:r>
        <w:t xml:space="preserve"> 15. April 2026</w:t>
      </w:r>
    </w:p>
    <w:p/>
    <w:p>
      <w:pPr>
        <w:pStyle w:val="Heading2"/>
      </w:pPr>
      <w:r>
        <w:rPr>
          <w:rFonts w:ascii="Times New Roman" w:hAnsi="Times New Roman"/>
        </w:rPr>
        <w:t>1. Grundlage: § 50 BRAO</w:t>
      </w:r>
    </w:p>
    <w:p>
      <w:pPr>
        <w:jc w:val="left"/>
      </w:pPr>
      <w:r>
        <w:t>§ 50 BRAO verpflichtet den Rechtsanwalt, vollständige Handakten über alle Mandate zu führen und diese fünf Jahre nach Beendigung des Auftrags aufzubewahren. Die Handakte muss alle wesentlichen Vorgänge des Mandats dokumentieren, insbesondere:</w:t>
      </w:r>
    </w:p>
    <w:p>
      <w:pPr>
        <w:pStyle w:val="ListBullet"/>
      </w:pPr>
      <w:r>
        <w:t>den vollständigen Schriftwechsel mit dem Mandanten,</w:t>
      </w:r>
    </w:p>
    <w:p>
      <w:pPr>
        <w:pStyle w:val="ListBullet"/>
      </w:pPr>
      <w:r>
        <w:t>eingeholte Gutachten und Berichte,</w:t>
      </w:r>
    </w:p>
    <w:p>
      <w:pPr>
        <w:pStyle w:val="ListBullet"/>
      </w:pPr>
      <w:r>
        <w:t>eigene Prüfungsnotizen und Vermerke,</w:t>
      </w:r>
    </w:p>
    <w:p>
      <w:pPr>
        <w:pStyle w:val="ListBullet"/>
      </w:pPr>
      <w:r>
        <w:t>Entwürfe und Endversionen aller dem Mandanten übersandten Schriftstücke,</w:t>
      </w:r>
    </w:p>
    <w:p>
      <w:pPr>
        <w:pStyle w:val="ListBullet"/>
      </w:pPr>
      <w:r>
        <w:t>Rechnungsunterlagen.</w:t>
      </w:r>
    </w:p>
    <w:p/>
    <w:p>
      <w:pPr>
        <w:pStyle w:val="Heading2"/>
      </w:pPr>
      <w:r>
        <w:rPr>
          <w:rFonts w:ascii="Times New Roman" w:hAnsi="Times New Roman"/>
        </w:rPr>
        <w:t>2. Defizite in der Akte Habernau</w:t>
      </w:r>
    </w:p>
    <w:p>
      <w:pPr>
        <w:pStyle w:val="Heading3"/>
      </w:pPr>
      <w:r>
        <w:rPr>
          <w:rFonts w:ascii="Times New Roman" w:hAnsi="Times New Roman"/>
        </w:rPr>
        <w:t>2.1 Fehlender Original-KI-Output</w:t>
      </w:r>
    </w:p>
    <w:p>
      <w:pPr>
        <w:jc w:val="left"/>
      </w:pPr>
      <w:r>
        <w:t>In der Handakte von Dr. Rotbruch befand sich zum Zeitpunkt der Beweissicherung (9. Februar 2026) lediglich die an Frau Habernau übersandte (bereinigte) Version des Dokuments. Der Original-KI-Output von JuristAssist Pro 5 — mit vollständigem Warnhinweis — fehlt. Dies ist ein Verstoß gegen § 50 BRAO, weil der KI-Output ein wesentliches Arbeitsdokument des Mandats darstellt.</w:t>
      </w:r>
    </w:p>
    <w:p>
      <w:pPr>
        <w:jc w:val="left"/>
      </w:pPr>
      <w:r>
        <w:t>Die fehlende Dokumentation hat prozessuale Konsequenzen: Nach § 444 ZPO kann das Gericht aus dem Fehlen eines wesentlichen Dokuments den Schluss ziehen, dass dessen Inhalt für die beweisführende Partei günstig war. Im Ergebnis kann das Gericht zu dem Schluss gelangen, dass der Original-KI-Output den Warnhinweis enthielt, der in der übersandten Fassung fehlte.</w:t>
      </w:r>
    </w:p>
    <w:p>
      <w:pPr>
        <w:pStyle w:val="Heading3"/>
      </w:pPr>
      <w:r>
        <w:rPr>
          <w:rFonts w:ascii="Times New Roman" w:hAnsi="Times New Roman"/>
        </w:rPr>
        <w:t>2.2 Keine Prüfnotiz</w:t>
      </w:r>
    </w:p>
    <w:p>
      <w:pPr>
        <w:jc w:val="left"/>
      </w:pPr>
      <w:r>
        <w:t>Die Handakte enthält keine eigene Prüfnotiz von Dr. Rotbruch zur Vertragsprüfung. Lediglich handschriftliche Randnotizen auf einem Ausdruck des KI-Outputs dokumentieren eine oberflächliche Auseinandersetzung. Eine strukturierte Rechtsprüfung — insbesondere zur Sittenwidrigkeit nach § 138 BGB — ist nicht dokumentiert.</w:t>
      </w:r>
    </w:p>
    <w:p>
      <w:pPr>
        <w:pStyle w:val="Heading3"/>
      </w:pPr>
      <w:r>
        <w:rPr>
          <w:rFonts w:ascii="Times New Roman" w:hAnsi="Times New Roman"/>
        </w:rPr>
        <w:t>2.3 Kein Vermerk über KI-Einsatz</w:t>
      </w:r>
    </w:p>
    <w:p>
      <w:pPr>
        <w:jc w:val="left"/>
      </w:pPr>
      <w:r>
        <w:t>Die Handakte enthält keinen Vermerk darüber, dass ein KI-Tool eingesetzt wurde, welches Tool es war und welche Eingaben gemacht wurden. Für die Nachvollziehbarkeit des Mandatsvorgangs ist dieser Vermerk unerlässlich.</w:t>
      </w:r>
    </w:p>
    <w:p>
      <w:pPr>
        <w:pStyle w:val="Heading3"/>
      </w:pPr>
      <w:r>
        <w:rPr>
          <w:rFonts w:ascii="Times New Roman" w:hAnsi="Times New Roman"/>
        </w:rPr>
        <w:t>2.4 Unvollständiger E-Mail-Verkehr</w:t>
      </w:r>
    </w:p>
    <w:p>
      <w:pPr>
        <w:jc w:val="left"/>
      </w:pPr>
      <w:r>
        <w:t>Die Handakte enthält die ausgehende E-Mail vom 22. März 2022, aber keine Archivierung der Eingangsbestätigung der Mandantin und keines etwaigen Nachfrageaustauschs.</w:t>
      </w:r>
    </w:p>
    <w:p/>
    <w:p>
      <w:pPr>
        <w:pStyle w:val="Heading2"/>
      </w:pPr>
      <w:r>
        <w:rPr>
          <w:rFonts w:ascii="Times New Roman" w:hAnsi="Times New Roman"/>
        </w:rPr>
        <w:t>3. Auswirkungen im Verfahren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Dokumentationsdefizit</w:t>
            </w:r>
          </w:p>
        </w:tc>
        <w:tc>
          <w:tcPr>
            <w:tcW w:type="dxa" w:w="3024"/>
          </w:tcPr>
          <w:p>
            <w:r>
              <w:rPr>
                <w:rFonts w:ascii="Times New Roman" w:hAnsi="Times New Roman"/>
                <w:b/>
                <w:sz w:val="20"/>
              </w:rPr>
              <w:t>Prozessuale Folge</w:t>
            </w:r>
          </w:p>
        </w:tc>
        <w:tc>
          <w:tcPr>
            <w:tcW w:type="dxa" w:w="3024"/>
          </w:tcPr>
          <w:p>
            <w:r>
              <w:rPr>
                <w:rFonts w:ascii="Times New Roman" w:hAnsi="Times New Roman"/>
                <w:b/>
                <w:sz w:val="20"/>
              </w:rPr>
              <w:t>Berufsrechtliche Folge</w:t>
            </w:r>
          </w:p>
        </w:tc>
      </w:tr>
      <w:tr>
        <w:tc>
          <w:tcPr>
            <w:tcW w:type="dxa" w:w="3024"/>
          </w:tcPr>
          <w:p>
            <w:r>
              <w:rPr>
                <w:rFonts w:ascii="Times New Roman" w:hAnsi="Times New Roman"/>
                <w:sz w:val="20"/>
              </w:rPr>
              <w:t>Fehlender Original-KI-Output</w:t>
            </w:r>
          </w:p>
        </w:tc>
        <w:tc>
          <w:tcPr>
            <w:tcW w:type="dxa" w:w="3024"/>
          </w:tcPr>
          <w:p>
            <w:r>
              <w:rPr>
                <w:rFonts w:ascii="Times New Roman" w:hAnsi="Times New Roman"/>
                <w:sz w:val="20"/>
              </w:rPr>
              <w:t>§ 444 ZPO: günstige Schlussfolgerung für Klägerin</w:t>
            </w:r>
          </w:p>
        </w:tc>
        <w:tc>
          <w:tcPr>
            <w:tcW w:type="dxa" w:w="3024"/>
          </w:tcPr>
          <w:p>
            <w:r>
              <w:rPr>
                <w:rFonts w:ascii="Times New Roman" w:hAnsi="Times New Roman"/>
                <w:sz w:val="20"/>
              </w:rPr>
              <w:t>Verstoß gegen § 50 BRAO</w:t>
            </w:r>
          </w:p>
        </w:tc>
      </w:tr>
      <w:tr>
        <w:tc>
          <w:tcPr>
            <w:tcW w:type="dxa" w:w="3024"/>
          </w:tcPr>
          <w:p>
            <w:r>
              <w:rPr>
                <w:rFonts w:ascii="Times New Roman" w:hAnsi="Times New Roman"/>
                <w:sz w:val="20"/>
              </w:rPr>
              <w:t>Keine Prüfnotiz</w:t>
            </w:r>
          </w:p>
        </w:tc>
        <w:tc>
          <w:tcPr>
            <w:tcW w:type="dxa" w:w="3024"/>
          </w:tcPr>
          <w:p>
            <w:r>
              <w:rPr>
                <w:rFonts w:ascii="Times New Roman" w:hAnsi="Times New Roman"/>
                <w:sz w:val="20"/>
              </w:rPr>
              <w:t>Beweislast bei Dr. Rotbruch für ordnungsgemäße Prüfung</w:t>
            </w:r>
          </w:p>
        </w:tc>
        <w:tc>
          <w:tcPr>
            <w:tcW w:type="dxa" w:w="3024"/>
          </w:tcPr>
          <w:p>
            <w:r>
              <w:rPr>
                <w:rFonts w:ascii="Times New Roman" w:hAnsi="Times New Roman"/>
                <w:sz w:val="20"/>
              </w:rPr>
              <w:t>Indiz für Sorgfaltspflichtverletzung</w:t>
            </w:r>
          </w:p>
        </w:tc>
      </w:tr>
      <w:tr>
        <w:tc>
          <w:tcPr>
            <w:tcW w:type="dxa" w:w="3024"/>
          </w:tcPr>
          <w:p>
            <w:r>
              <w:rPr>
                <w:rFonts w:ascii="Times New Roman" w:hAnsi="Times New Roman"/>
                <w:sz w:val="20"/>
              </w:rPr>
              <w:t>Kein KI-Vermerk</w:t>
            </w:r>
          </w:p>
        </w:tc>
        <w:tc>
          <w:tcPr>
            <w:tcW w:type="dxa" w:w="3024"/>
          </w:tcPr>
          <w:p>
            <w:r>
              <w:rPr>
                <w:rFonts w:ascii="Times New Roman" w:hAnsi="Times New Roman"/>
                <w:sz w:val="20"/>
              </w:rPr>
              <w:t>Keine Nachvollziehbarkeit des Arbeitsprozesses</w:t>
            </w:r>
          </w:p>
        </w:tc>
        <w:tc>
          <w:tcPr>
            <w:tcW w:type="dxa" w:w="3024"/>
          </w:tcPr>
          <w:p>
            <w:r>
              <w:rPr>
                <w:rFonts w:ascii="Times New Roman" w:hAnsi="Times New Roman"/>
                <w:sz w:val="20"/>
              </w:rPr>
              <w:t>Verstoß gegen § 50 BRAO</w:t>
            </w:r>
          </w:p>
        </w:tc>
      </w:tr>
      <w:tr>
        <w:tc>
          <w:tcPr>
            <w:tcW w:type="dxa" w:w="3024"/>
          </w:tcPr>
          <w:p>
            <w:r>
              <w:rPr>
                <w:rFonts w:ascii="Times New Roman" w:hAnsi="Times New Roman"/>
                <w:sz w:val="20"/>
              </w:rPr>
              <w:t>Unvollständiger E-Mail-Verkehr</w:t>
            </w:r>
          </w:p>
        </w:tc>
        <w:tc>
          <w:tcPr>
            <w:tcW w:type="dxa" w:w="3024"/>
          </w:tcPr>
          <w:p>
            <w:r>
              <w:rPr>
                <w:rFonts w:ascii="Times New Roman" w:hAnsi="Times New Roman"/>
                <w:sz w:val="20"/>
              </w:rPr>
              <w:t>Lücken im Beweisbild</w:t>
            </w:r>
          </w:p>
        </w:tc>
        <w:tc>
          <w:tcPr>
            <w:tcW w:type="dxa" w:w="3024"/>
          </w:tcPr>
          <w:p>
            <w:r>
              <w:rPr>
                <w:rFonts w:ascii="Times New Roman" w:hAnsi="Times New Roman"/>
                <w:sz w:val="20"/>
              </w:rPr>
              <w:t>Verstoß gegen § 50 BRAO</w:t>
            </w:r>
          </w:p>
        </w:tc>
      </w:tr>
    </w:tbl>
    <w:p/>
    <w:p>
      <w:pPr>
        <w:pStyle w:val="Heading2"/>
      </w:pPr>
      <w:r>
        <w:rPr>
          <w:rFonts w:ascii="Times New Roman" w:hAnsi="Times New Roman"/>
        </w:rPr>
        <w:t>4. Best Practice: Dokumentation bei KI-Einsatz</w:t>
      </w:r>
    </w:p>
    <w:p>
      <w:pPr>
        <w:jc w:val="left"/>
      </w:pPr>
      <w:r>
        <w:t>Eine ordnungsgemäße Dokumentation beim KI-Einsatz umfasst mindestens:</w:t>
      </w:r>
    </w:p>
    <w:p>
      <w:pPr>
        <w:pStyle w:val="ListNumber"/>
      </w:pPr>
      <w:r>
        <w:rPr>
          <w:b/>
        </w:rPr>
        <w:t>Eingangslog:</w:t>
      </w:r>
      <w:r>
        <w:t xml:space="preserve"> Datum, Uhrzeit, Tool-Name, Version, eingespeiste Dokumente (Dateibeschreibung ohne Inhalt in der Handakte).</w:t>
      </w:r>
    </w:p>
    <w:p>
      <w:pPr>
        <w:pStyle w:val="ListNumber"/>
      </w:pPr>
      <w:r>
        <w:rPr>
          <w:b/>
        </w:rPr>
        <w:t>Originaloutput:</w:t>
      </w:r>
      <w:r>
        <w:t xml:space="preserve"> Vollständige Archivierung des KI-Outputs inkl. aller Warnhinweise, Metadaten und Versionsnummern.</w:t>
      </w:r>
    </w:p>
    <w:p>
      <w:pPr>
        <w:pStyle w:val="ListNumber"/>
      </w:pPr>
      <w:r>
        <w:rPr>
          <w:b/>
        </w:rPr>
        <w:t>Prüfprotokoll:</w:t>
      </w:r>
      <w:r>
        <w:t xml:space="preserve"> Eigene Notiz des Anwalts über die nachgelagerte rechtliche Prüfung des Outputs, mit Angabe der geprüften Punkte und etwaiger Abweichungen vom KI-Ergebnis.</w:t>
      </w:r>
    </w:p>
    <w:p>
      <w:pPr>
        <w:pStyle w:val="ListNumber"/>
      </w:pPr>
      <w:r>
        <w:rPr>
          <w:b/>
        </w:rPr>
        <w:t>Freigabevermerk:</w:t>
      </w:r>
      <w:r>
        <w:t xml:space="preserve"> Schriftliche Freigabe des geprüften Dokuments vor Versand.</w:t>
      </w:r>
    </w:p>
    <w:p>
      <w:pPr>
        <w:pStyle w:val="ListNumber"/>
      </w:pPr>
      <w:r>
        <w:rPr>
          <w:b/>
        </w:rPr>
        <w:t>Mandanteninformation:</w:t>
      </w:r>
      <w:r>
        <w:t xml:space="preserve"> Vermerk über die dem Mandanten gegebene Erklärung über den KI-Einsatz.</w:t>
      </w:r>
    </w:p>
    <w:p/>
    <w:p>
      <w:pPr>
        <w:pStyle w:val="Heading2"/>
      </w:pPr>
      <w:r>
        <w:rPr>
          <w:rFonts w:ascii="Times New Roman" w:hAnsi="Times New Roman"/>
        </w:rPr>
        <w:t>5. Sanktionsrisiko</w:t>
      </w:r>
    </w:p>
    <w:p>
      <w:pPr>
        <w:jc w:val="left"/>
      </w:pPr>
      <w:r>
        <w:t>Ein Verstoß gegen § 50 BRAO ist eigenständig berufsrechtlich sanktionierbar. Im vorliegenden Fall wurde dieser Verstoß von der RAK Köln bisher nicht als eigenständiger sechster Vorwurf erhoben, jedoch als erschwerender Umstand im Rahmen der Gesamtbewertung (Vorwürfe 1 und 2) berücksichtigt. Im anwaltsgerichtlichen Verfahren wäre er strafmaßrelevant.</w:t>
      </w:r>
    </w:p>
    <w:p/>
    <w:p>
      <w:pPr>
        <w:jc w:val="left"/>
      </w:pPr>
      <w:r>
        <w:rPr>
          <w:b/>
        </w:rPr>
        <w:t>Quellen:</w:t>
      </w:r>
    </w:p>
    <w:p>
      <w:pPr>
        <w:pStyle w:val="ListBullet"/>
      </w:pPr>
      <w:r>
        <w:t>§ 50 BRAO (dejure.org)</w:t>
      </w:r>
    </w:p>
    <w:p>
      <w:pPr>
        <w:pStyle w:val="ListBullet"/>
      </w:pPr>
      <w:r>
        <w:t>§ 444 ZPO (dejure.org)</w:t>
      </w:r>
    </w:p>
    <w:p>
      <w:pPr>
        <w:pStyle w:val="ListBullet"/>
      </w:pPr>
      <w:r>
        <w:t>§ 43a BRAO (dejure.org)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