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BGH XII ZR 75/22 — Ehevertrags-Kontrolle und Kernbereichsdoktrin</w:t>
      </w:r>
    </w:p>
    <w:p>
      <w:pPr>
        <w:jc w:val="left"/>
      </w:pPr>
      <w:r>
        <w:rPr>
          <w:b/>
        </w:rPr>
        <w:t>Akte:</w:t>
      </w:r>
      <w:r>
        <w:t xml:space="preserve"> Berufsrecht / KI-Vertragsprüfung — Kanzlei Rotbruch, Köln</w:t>
      </w:r>
    </w:p>
    <w:p>
      <w:pPr>
        <w:jc w:val="left"/>
      </w:pPr>
      <w:r>
        <w:rPr>
          <w:b/>
        </w:rPr>
        <w:t>Stichtag Aktenstück:</w:t>
      </w:r>
      <w:r>
        <w:t xml:space="preserve"> 15. April 2026</w:t>
      </w:r>
    </w:p>
    <w:p/>
    <w:p>
      <w:pPr>
        <w:pStyle w:val="Heading2"/>
      </w:pPr>
      <w:r>
        <w:rPr>
          <w:rFonts w:ascii="Times New Roman" w:hAnsi="Times New Roman"/>
        </w:rPr>
        <w:t>1. Bedeutung des BGH XII ZR 75/22 für diesen Fall</w:t>
      </w:r>
    </w:p>
    <w:p>
      <w:pPr>
        <w:jc w:val="left"/>
      </w:pPr>
      <w:r>
        <w:t>Der Bundesgerichtshof hat mit Urteil vom 25. Januar 2023 in der Sache XII ZR 75/22 (bundesgerichtshof.de) seine ständige Rechtsprechung zur Inhaltskontrolle von Eheverträgen bekräftigt und präzisiert. Das Urteil ist für die vorliegende Akte in zweifacher Hinsicht relevant:</w:t>
      </w:r>
    </w:p>
    <w:p>
      <w:pPr>
        <w:pStyle w:val="ListNumber"/>
      </w:pPr>
      <w:r>
        <w:t>Es bildet die materielle Grundlage für die Feststellung der Teilunwirksamkeit des Habernau-Ehevertrags durch das AG Köln (Az. 302 F 1147/25).</w:t>
      </w:r>
    </w:p>
    <w:p>
      <w:pPr>
        <w:pStyle w:val="ListNumber"/>
      </w:pPr>
      <w:r>
        <w:t>Es war zum Zeitpunkt der Ehevertragsprüfung durch Dr. Rotbruch im März 2022 zwar noch nicht ergangen (das Urteil stammt von Januar 2023), aber die zugrundeliegende Rechtsprechungslinie war seit BGH XII ZR 157/99 und BGH XII ZR 65/03 gefestigt — Dr. Rotbruch hätte diese kennen müssen.</w:t>
      </w:r>
    </w:p>
    <w:p/>
    <w:p>
      <w:pPr>
        <w:pStyle w:val="Heading2"/>
      </w:pPr>
      <w:r>
        <w:rPr>
          <w:rFonts w:ascii="Times New Roman" w:hAnsi="Times New Roman"/>
        </w:rPr>
        <w:t>2. Die BGH-Kernbereichsdoktrin</w:t>
      </w:r>
    </w:p>
    <w:p>
      <w:pPr>
        <w:jc w:val="left"/>
      </w:pPr>
      <w:r>
        <w:t>Der BGH prüft Eheverträge in einem zweistufigen Verfahren:</w:t>
      </w:r>
    </w:p>
    <w:p>
      <w:pPr>
        <w:pStyle w:val="Heading3"/>
      </w:pPr>
      <w:r>
        <w:rPr>
          <w:rFonts w:ascii="Times New Roman" w:hAnsi="Times New Roman"/>
        </w:rPr>
        <w:t>Stufe 1: Sittenwidrigkeitsprüfung (§ 138 BGB)</w:t>
      </w:r>
    </w:p>
    <w:p>
      <w:pPr>
        <w:jc w:val="left"/>
      </w:pPr>
      <w:r>
        <w:t>Ein Ehevertrag ist nach § 138 BGB sittenwidrig und damit nichtig, wenn er nach seinem Inhalt und den Umständen seines Zustandekommens eine einseitige und eklatant belastende Kumulation von Nachteilen für einen Vertragspartner begründet, die auf einem erheblichen Ungleichgewicht der Verhandlungspositionen beruht. Dies gilt insbesondere bei:</w:t>
      </w:r>
    </w:p>
    <w:p>
      <w:pPr>
        <w:pStyle w:val="ListBullet"/>
      </w:pPr>
      <w:r>
        <w:t>Vollständigem Ausschluss des Versorgungsausgleichs,</w:t>
      </w:r>
    </w:p>
    <w:p>
      <w:pPr>
        <w:pStyle w:val="ListBullet"/>
      </w:pPr>
      <w:r>
        <w:t>Ausschluss nachehelichen Unterhalts,</w:t>
      </w:r>
    </w:p>
    <w:p>
      <w:pPr>
        <w:pStyle w:val="ListBullet"/>
      </w:pPr>
      <w:r>
        <w:t>Ausschluss des Zugewinnausgleichs,</w:t>
      </w:r>
    </w:p>
    <w:p>
      <w:pPr>
        <w:jc w:val="left"/>
      </w:pPr>
      <w:r>
        <w:t>wenn diese Regelungen zusammen ein einseitiges Belastungsgefüge ergeben.</w:t>
      </w:r>
    </w:p>
    <w:p>
      <w:pPr>
        <w:jc w:val="left"/>
      </w:pPr>
      <w:r>
        <w:t>Der BGH (XII ZR 157/99) spricht vom „Kernbereich" des Scheidungsfolgenrechts, der durch Ehevertrag nicht beliebig abbedungen werden darf: Versorgungsausgleich und Unterhalt sind Kernbereichsinstrumente zum Schutz des wirtschaftlich schwächeren Ehegatten.</w:t>
      </w:r>
    </w:p>
    <w:p>
      <w:pPr>
        <w:pStyle w:val="Heading3"/>
      </w:pPr>
      <w:r>
        <w:rPr>
          <w:rFonts w:ascii="Times New Roman" w:hAnsi="Times New Roman"/>
        </w:rPr>
        <w:t>Stufe 2: Ausübungskontrolle (§ 242 BGB)</w:t>
      </w:r>
    </w:p>
    <w:p>
      <w:pPr>
        <w:jc w:val="left"/>
      </w:pPr>
      <w:r>
        <w:t>Selbst wenn der Ehevertrag die Sittenwidrigkeitsschwelle nicht überschreitet, kann seine Durchsetzung nach § 242 BGB treuwidrig sein, wenn sich die Verhältnisse seit Vertragsschluss so verändert haben, dass die Bindung unzumutbar erscheint.</w:t>
      </w:r>
    </w:p>
    <w:p/>
    <w:p>
      <w:pPr>
        <w:pStyle w:val="Heading2"/>
      </w:pPr>
      <w:r>
        <w:rPr>
          <w:rFonts w:ascii="Times New Roman" w:hAnsi="Times New Roman"/>
        </w:rPr>
        <w:t>3. Anwendung auf den Habernau-Ehevertrag</w:t>
      </w:r>
    </w:p>
    <w:p>
      <w:pPr>
        <w:pStyle w:val="Heading3"/>
      </w:pPr>
      <w:r>
        <w:rPr>
          <w:rFonts w:ascii="Times New Roman" w:hAnsi="Times New Roman"/>
        </w:rPr>
        <w:t>3.1 Sachverhalt der Unwirksamkeit</w:t>
      </w:r>
    </w:p>
    <w:p>
      <w:pPr>
        <w:jc w:val="left"/>
      </w:pPr>
      <w:r>
        <w:t>Das AG Köln hat mit Beschluss vom 3. Dezember 2025 die Unwirksamkeit des Globalverzichts auf den Versorgungsausgleich festgestellt. Begründung:</w:t>
      </w:r>
    </w:p>
    <w:p>
      <w:pPr>
        <w:pStyle w:val="ListBullet"/>
      </w:pPr>
      <w:r>
        <w:t>Ulrike Habernau hatte zum Zeitpunkt des Vertragsschlusses (April 2022) erheblich geringere Rentenanwartschaften als Hans-Dieter Habernau (sie: 12 Rentenpunkte; er: 31 Rentenpunkte, geschätzt nach dem Vortrag im Scheidungsverfahren).</w:t>
      </w:r>
    </w:p>
    <w:p>
      <w:pPr>
        <w:pStyle w:val="ListBullet"/>
      </w:pPr>
      <w:r>
        <w:t>Der Verzicht erfolgte ohne jede Gegenleistung oder Sicherungsklausel.</w:t>
      </w:r>
    </w:p>
    <w:p>
      <w:pPr>
        <w:pStyle w:val="ListBullet"/>
      </w:pPr>
      <w:r>
        <w:t>Im Verbund mit dem Unterhaltsverzicht (für die Zeit nach Kindererziehungszeiten eingeschränkt aufrechterhalten) und dem Zugewinnausschluss ergibt sich eine einseitige Gesamtbelastung.</w:t>
      </w:r>
    </w:p>
    <w:p>
      <w:pPr>
        <w:jc w:val="left"/>
      </w:pPr>
      <w:r>
        <w:t>Der Zugewinnausschluss für sich allein wäre wirksam gewesen, weil Frau Habernau über keine nennenswerten Zugewinnansprüche verfügt hätte und Herr Habernau ebenfalls keine dominante Zugewinnposition hatte. Die Kumulation der drei Ausschlüsse begründete jedoch die Sittenwidrigkeitsprüfung.</w:t>
      </w:r>
    </w:p>
    <w:p>
      <w:pPr>
        <w:pStyle w:val="Heading3"/>
      </w:pPr>
      <w:r>
        <w:rPr>
          <w:rFonts w:ascii="Times New Roman" w:hAnsi="Times New Roman"/>
        </w:rPr>
        <w:t>3.2 Was Dr. Rotbruch hätte erkennen müssen</w:t>
      </w:r>
    </w:p>
    <w:p>
      <w:pPr>
        <w:jc w:val="left"/>
      </w:pPr>
      <w:r>
        <w:t>Nach der BGH-Linie XII ZR 157/99 / XII ZR 65/03 war bereits im Jahr 2022 klar, dass:</w:t>
      </w:r>
    </w:p>
    <w:p>
      <w:pPr>
        <w:pStyle w:val="ListBullet"/>
      </w:pPr>
      <w:r>
        <w:t>Ein Globalverzicht auf den Versorgungsausgleich bei bestehender Ungleichgewichtslage der Anwartschaften nach § 138 BGB oder zumindest § 242 BGB angreifbar ist.</w:t>
      </w:r>
    </w:p>
    <w:p>
      <w:pPr>
        <w:pStyle w:val="ListBullet"/>
      </w:pPr>
      <w:r>
        <w:t>Die Kombination von drei Ausschlussklauseln ohne Kompensation ein erhöhtes Sittenwidrigkeitsrisiko trägt.</w:t>
      </w:r>
    </w:p>
    <w:p>
      <w:pPr>
        <w:jc w:val="left"/>
      </w:pPr>
      <w:r>
        <w:t>Ein Anwalt mit Fachanwaltsstatus für Familienrecht (den Dr. Rotbruch seit 2021 trägt) muss diese Rechtsprechung kennen. Das ist keine Frage eines obskuren Randgebiets, sondern Kernkompetenz des Familienrechtlers.</w:t>
      </w:r>
    </w:p>
    <w:p/>
    <w:p>
      <w:pPr>
        <w:pStyle w:val="Heading2"/>
      </w:pPr>
      <w:r>
        <w:rPr>
          <w:rFonts w:ascii="Times New Roman" w:hAnsi="Times New Roman"/>
        </w:rPr>
        <w:t>4. KI-Tool und Kernbereichsdoktrin</w:t>
      </w:r>
    </w:p>
    <w:p>
      <w:pPr>
        <w:jc w:val="left"/>
      </w:pPr>
      <w:r>
        <w:t>Das KI-Tool JuristAssist Pro 5 hat in seiner Analyse (Anlage K3 zur Klageschrift) zur Sittenwidrigkeitsfrage lediglich ausgeführt:</w:t>
      </w:r>
    </w:p>
    <w:p>
      <w:pPr>
        <w:ind w:left="567"/>
      </w:pPr>
      <w:r>
        <w:rPr>
          <w:i/>
        </w:rPr>
        <w:t>„Die Vertragskombination enthält keine per se verbotenen Klauseln. Einzelne Sittenwidrigkeitsrisiken können im Einzelfall auftreten; eine abschließende Bewertung ist ohne vollständige Sachverhaltskenntnis nicht möglich."</w:t>
      </w:r>
    </w:p>
    <w:p>
      <w:pPr>
        <w:jc w:val="left"/>
      </w:pPr>
      <w:r>
        <w:t>Diese Formulierung zeigt die strukturelle Schwäche von KI-Systemen bei Gesamtabwägungen: Das Tool erkennt das Problem abstrakt, kann es aber nicht auf den konkreten Sachverhalt (Ungleichgewicht der Anwartschaften, fehlende Kompensation, Verhandlungssituation) anwenden. Genau dies ist die Aufgabe des Anwalts — und genau dies hat Dr. Rotbruch unterlassen.</w:t>
      </w:r>
    </w:p>
    <w:p/>
    <w:p>
      <w:pPr>
        <w:pStyle w:val="Heading2"/>
      </w:pPr>
      <w:r>
        <w:rPr>
          <w:rFonts w:ascii="Times New Roman" w:hAnsi="Times New Roman"/>
        </w:rPr>
        <w:t>5. Tabelle: BGH-Rechtsprechungslinie Ehevertragsinhaltskontrolle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Entscheidung</w:t>
            </w:r>
          </w:p>
        </w:tc>
        <w:tc>
          <w:tcPr>
            <w:tcW w:type="dxa" w:w="3024"/>
          </w:tcPr>
          <w:p>
            <w:r>
              <w:rPr>
                <w:rFonts w:ascii="Times New Roman" w:hAnsi="Times New Roman"/>
                <w:b/>
                <w:sz w:val="20"/>
              </w:rPr>
              <w:t>Az.</w:t>
            </w:r>
          </w:p>
        </w:tc>
        <w:tc>
          <w:tcPr>
            <w:tcW w:type="dxa" w:w="3024"/>
          </w:tcPr>
          <w:p>
            <w:r>
              <w:rPr>
                <w:rFonts w:ascii="Times New Roman" w:hAnsi="Times New Roman"/>
                <w:b/>
                <w:sz w:val="20"/>
              </w:rPr>
              <w:t>Inhalt</w:t>
            </w:r>
          </w:p>
        </w:tc>
      </w:tr>
      <w:tr>
        <w:tc>
          <w:tcPr>
            <w:tcW w:type="dxa" w:w="3024"/>
          </w:tcPr>
          <w:p>
            <w:r>
              <w:rPr>
                <w:rFonts w:ascii="Times New Roman" w:hAnsi="Times New Roman"/>
                <w:sz w:val="20"/>
              </w:rPr>
              <w:t>BGH 11.02.2004</w:t>
            </w:r>
          </w:p>
        </w:tc>
        <w:tc>
          <w:tcPr>
            <w:tcW w:type="dxa" w:w="3024"/>
          </w:tcPr>
          <w:p>
            <w:r>
              <w:rPr>
                <w:rFonts w:ascii="Times New Roman" w:hAnsi="Times New Roman"/>
                <w:sz w:val="20"/>
              </w:rPr>
              <w:t>XII ZR 265/02</w:t>
            </w:r>
          </w:p>
        </w:tc>
        <w:tc>
          <w:tcPr>
            <w:tcW w:type="dxa" w:w="3024"/>
          </w:tcPr>
          <w:p>
            <w:r>
              <w:rPr>
                <w:rFonts w:ascii="Times New Roman" w:hAnsi="Times New Roman"/>
                <w:sz w:val="20"/>
              </w:rPr>
              <w:t>Grundlage Zweistufen-Prüfung</w:t>
            </w:r>
          </w:p>
        </w:tc>
      </w:tr>
      <w:tr>
        <w:tc>
          <w:tcPr>
            <w:tcW w:type="dxa" w:w="3024"/>
          </w:tcPr>
          <w:p>
            <w:r>
              <w:rPr>
                <w:rFonts w:ascii="Times New Roman" w:hAnsi="Times New Roman"/>
                <w:sz w:val="20"/>
              </w:rPr>
              <w:t>BGH 25.05.2005</w:t>
            </w:r>
          </w:p>
        </w:tc>
        <w:tc>
          <w:tcPr>
            <w:tcW w:type="dxa" w:w="3024"/>
          </w:tcPr>
          <w:p>
            <w:r>
              <w:rPr>
                <w:rFonts w:ascii="Times New Roman" w:hAnsi="Times New Roman"/>
                <w:sz w:val="20"/>
              </w:rPr>
              <w:t>XII ZR 296/01</w:t>
            </w:r>
          </w:p>
        </w:tc>
        <w:tc>
          <w:tcPr>
            <w:tcW w:type="dxa" w:w="3024"/>
          </w:tcPr>
          <w:p>
            <w:r>
              <w:rPr>
                <w:rFonts w:ascii="Times New Roman" w:hAnsi="Times New Roman"/>
                <w:sz w:val="20"/>
              </w:rPr>
              <w:t>Unterhaltsverzicht Kernbereich</w:t>
            </w:r>
          </w:p>
        </w:tc>
      </w:tr>
      <w:tr>
        <w:tc>
          <w:tcPr>
            <w:tcW w:type="dxa" w:w="3024"/>
          </w:tcPr>
          <w:p>
            <w:r>
              <w:rPr>
                <w:rFonts w:ascii="Times New Roman" w:hAnsi="Times New Roman"/>
                <w:sz w:val="20"/>
              </w:rPr>
              <w:t>BGH 29.01.2014</w:t>
            </w:r>
          </w:p>
        </w:tc>
        <w:tc>
          <w:tcPr>
            <w:tcW w:type="dxa" w:w="3024"/>
          </w:tcPr>
          <w:p>
            <w:r>
              <w:rPr>
                <w:rFonts w:ascii="Times New Roman" w:hAnsi="Times New Roman"/>
                <w:sz w:val="20"/>
              </w:rPr>
              <w:t>XII ZR 188/12</w:t>
            </w:r>
          </w:p>
        </w:tc>
        <w:tc>
          <w:tcPr>
            <w:tcW w:type="dxa" w:w="3024"/>
          </w:tcPr>
          <w:p>
            <w:r>
              <w:rPr>
                <w:rFonts w:ascii="Times New Roman" w:hAnsi="Times New Roman"/>
                <w:sz w:val="20"/>
              </w:rPr>
              <w:t>Versorgungsausgleichsverzicht — Kernbereich</w:t>
            </w:r>
          </w:p>
        </w:tc>
      </w:tr>
      <w:tr>
        <w:tc>
          <w:tcPr>
            <w:tcW w:type="dxa" w:w="3024"/>
          </w:tcPr>
          <w:p>
            <w:r>
              <w:rPr>
                <w:rFonts w:ascii="Times New Roman" w:hAnsi="Times New Roman"/>
                <w:sz w:val="20"/>
              </w:rPr>
              <w:t>BGH 08.10.2014</w:t>
            </w:r>
          </w:p>
        </w:tc>
        <w:tc>
          <w:tcPr>
            <w:tcW w:type="dxa" w:w="3024"/>
          </w:tcPr>
          <w:p>
            <w:r>
              <w:rPr>
                <w:rFonts w:ascii="Times New Roman" w:hAnsi="Times New Roman"/>
                <w:sz w:val="20"/>
              </w:rPr>
              <w:t>XII ZR 88/13</w:t>
            </w:r>
          </w:p>
        </w:tc>
        <w:tc>
          <w:tcPr>
            <w:tcW w:type="dxa" w:w="3024"/>
          </w:tcPr>
          <w:p>
            <w:r>
              <w:rPr>
                <w:rFonts w:ascii="Times New Roman" w:hAnsi="Times New Roman"/>
                <w:sz w:val="20"/>
              </w:rPr>
              <w:t>Gesamtschau bei Kombinations-Klauseln</w:t>
            </w:r>
          </w:p>
        </w:tc>
      </w:tr>
      <w:tr>
        <w:tc>
          <w:tcPr>
            <w:tcW w:type="dxa" w:w="3024"/>
          </w:tcPr>
          <w:p>
            <w:r>
              <w:rPr>
                <w:rFonts w:ascii="Times New Roman" w:hAnsi="Times New Roman"/>
                <w:sz w:val="20"/>
              </w:rPr>
              <w:t>BGH 25.01.2023</w:t>
            </w:r>
          </w:p>
        </w:tc>
        <w:tc>
          <w:tcPr>
            <w:tcW w:type="dxa" w:w="3024"/>
          </w:tcPr>
          <w:p>
            <w:r>
              <w:rPr>
                <w:rFonts w:ascii="Times New Roman" w:hAnsi="Times New Roman"/>
                <w:sz w:val="20"/>
              </w:rPr>
              <w:t>XII ZR 75/22</w:t>
            </w:r>
          </w:p>
        </w:tc>
        <w:tc>
          <w:tcPr>
            <w:tcW w:type="dxa" w:w="3024"/>
          </w:tcPr>
          <w:p>
            <w:r>
              <w:rPr>
                <w:rFonts w:ascii="Times New Roman" w:hAnsi="Times New Roman"/>
                <w:sz w:val="20"/>
              </w:rPr>
              <w:t>Bestätigung; Ausübungskontrolle § 242 BGB</w:t>
            </w:r>
          </w:p>
        </w:tc>
      </w:tr>
    </w:tbl>
    <w:p/>
    <w:p>
      <w:pPr>
        <w:jc w:val="left"/>
      </w:pPr>
      <w:r>
        <w:rPr>
          <w:b/>
        </w:rPr>
        <w:t>Quellen:</w:t>
      </w:r>
    </w:p>
    <w:p>
      <w:pPr>
        <w:pStyle w:val="ListBullet"/>
      </w:pPr>
      <w:r>
        <w:t>BGH XII ZR 75/22 (bundesgerichtshof.de)</w:t>
      </w:r>
    </w:p>
    <w:p>
      <w:pPr>
        <w:pStyle w:val="ListBullet"/>
      </w:pPr>
      <w:r>
        <w:t>§ 138 BGB (dejure.org)</w:t>
      </w:r>
    </w:p>
    <w:p>
      <w:pPr>
        <w:pStyle w:val="ListBullet"/>
      </w:pPr>
      <w:r>
        <w:t>§ 242 BGB (dejure.org)</w:t>
      </w:r>
    </w:p>
    <w:p>
      <w:pPr>
        <w:pStyle w:val="ListBullet"/>
      </w:pPr>
      <w:r>
        <w:t>§ 6 VersAusglG (dejure.org)</w:t>
      </w:r>
    </w:p>
    <w:p>
      <w:pPr>
        <w:pStyle w:val="ListBullet"/>
      </w:pPr>
      <w:r>
        <w:t>BGH XII ZR 157/99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