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Subsumtion — §§ 280, 675 BGB, Anwaltsvertrag</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Prüfungsaufbau</w:t>
      </w:r>
    </w:p>
    <w:p>
      <w:pPr>
        <w:jc w:val="left"/>
      </w:pPr>
      <w:r>
        <w:t>Der Schadensersatzanspruch von Frau Habernau gegen Dr. Rotbruch stützt sich auf § 280 Abs. 1 BGB i.V.m. § 675 BGB. Zu prüfen sind:</w:t>
      </w:r>
    </w:p>
    <w:p>
      <w:pPr>
        <w:pStyle w:val="ListNumber"/>
      </w:pPr>
      <w:r>
        <w:t>Schuldverhältnis</w:t>
      </w:r>
    </w:p>
    <w:p>
      <w:pPr>
        <w:pStyle w:val="ListNumber"/>
      </w:pPr>
      <w:r>
        <w:t>Pflichtverletzung</w:t>
      </w:r>
    </w:p>
    <w:p>
      <w:pPr>
        <w:pStyle w:val="ListNumber"/>
      </w:pPr>
      <w:r>
        <w:t>Vertretenmüssen</w:t>
      </w:r>
    </w:p>
    <w:p>
      <w:pPr>
        <w:pStyle w:val="ListNumber"/>
      </w:pPr>
      <w:r>
        <w:t>Schaden</w:t>
      </w:r>
    </w:p>
    <w:p>
      <w:pPr>
        <w:pStyle w:val="ListNumber"/>
      </w:pPr>
      <w:r>
        <w:t>Kausalität (haftungsbegründend und haftungsausfüllend)</w:t>
      </w:r>
    </w:p>
    <w:p>
      <w:pPr>
        <w:pStyle w:val="ListNumber"/>
      </w:pPr>
      <w:r>
        <w:t>Kein Mitverschulden (§ 254 BGB)</w:t>
      </w:r>
    </w:p>
    <w:p/>
    <w:p>
      <w:pPr>
        <w:pStyle w:val="Heading2"/>
      </w:pPr>
      <w:r>
        <w:rPr>
          <w:rFonts w:ascii="Times New Roman" w:hAnsi="Times New Roman"/>
        </w:rPr>
        <w:t>2. Schuldverhältnis (§ 675 BGB)</w:t>
      </w:r>
    </w:p>
    <w:p>
      <w:pPr>
        <w:jc w:val="left"/>
      </w:pPr>
      <w:r>
        <w:t>Zwischen Ulrike Habernau und Dr. Rotbruch bestand ein Anwaltsvertrag in Form eines Geschäftsbesorgungsvertrags nach § 675 BGB. Der Vertrag umfasste die Prüfung des Ehevertragsentwurfs auf seine rechtliche Wirksamkeit, insbesondere auf Sittenwidrigkeitsrisiken, und die Beratung der Mandantin hierüber.</w:t>
      </w:r>
    </w:p>
    <w:p>
      <w:pPr>
        <w:jc w:val="left"/>
      </w:pPr>
      <w:r>
        <w:rPr>
          <w:b/>
        </w:rPr>
        <w:t>Ergebnis:</w:t>
      </w:r>
      <w:r>
        <w:t xml:space="preserve"> Schuldverhältnis (+).</w:t>
      </w:r>
    </w:p>
    <w:p/>
    <w:p>
      <w:pPr>
        <w:pStyle w:val="Heading2"/>
      </w:pPr>
      <w:r>
        <w:rPr>
          <w:rFonts w:ascii="Times New Roman" w:hAnsi="Times New Roman"/>
        </w:rPr>
        <w:t>3. Pflichtverletzung (§ 280 Abs. 1 BGB)</w:t>
      </w:r>
    </w:p>
    <w:p>
      <w:pPr>
        <w:pStyle w:val="Heading3"/>
      </w:pPr>
      <w:r>
        <w:rPr>
          <w:rFonts w:ascii="Times New Roman" w:hAnsi="Times New Roman"/>
        </w:rPr>
        <w:t>3.1 Hauptleistungspflicht</w:t>
      </w:r>
    </w:p>
    <w:p>
      <w:pPr>
        <w:jc w:val="left"/>
      </w:pPr>
      <w:r>
        <w:t>Die Hauptleistungspflicht des Anwalts bei der Ehevertragsberatung umfasst die vollständige Prüfung auf alle rechtlich relevanten Risiken, einschließlich der Sittenwidrigkeitsprüfung nach § 138 BGB. Der BGH (IX ZR 189/09) hat klargestellt, dass der Anwalt den sichersten Weg gehen muss und alle für den Mandanten erkennbaren Risiken ansprechen muss.</w:t>
      </w:r>
    </w:p>
    <w:p>
      <w:pPr>
        <w:pStyle w:val="Heading3"/>
      </w:pPr>
      <w:r>
        <w:rPr>
          <w:rFonts w:ascii="Times New Roman" w:hAnsi="Times New Roman"/>
        </w:rPr>
        <w:t>3.2 Konkrete Pflichtverletzungen</w:t>
      </w:r>
    </w:p>
    <w:p>
      <w:pPr>
        <w:jc w:val="left"/>
      </w:pPr>
      <w:r>
        <w:rPr>
          <w:b/>
        </w:rPr>
        <w:t>a) Unterlassene Sittenwidrigkeitsprüfung:</w:t>
      </w:r>
      <w:r>
        <w:t xml:space="preserve"> Dr. Rotbruch hat die Gesamtschau der drei Ausschlussklauseln nicht nach dem BGH-Maßstab (XII ZR 157/99; XII ZR 65/03; XII ZR 75/22) geprüft. Hätte er dies getan, hätte er das erhebliche Unwirksamkeitsrisiko erkennen und die Mandantin warnen müssen.</w:t>
      </w:r>
    </w:p>
    <w:p>
      <w:pPr>
        <w:jc w:val="left"/>
      </w:pPr>
      <w:r>
        <w:rPr>
          <w:b/>
        </w:rPr>
        <w:t>b) Unrevidierter KI-Output:</w:t>
      </w:r>
      <w:r>
        <w:t xml:space="preserve"> Die Weiterleitung des KI-Outputs ohne eigenverantwortliche Prüfung — und insbesondere unter Weglassen des KI-Warnhinweises — ist eine Verletzung der Kardinalspflicht zur eigenverantwortlichen Rechtsberatung.</w:t>
      </w:r>
    </w:p>
    <w:p>
      <w:pPr>
        <w:jc w:val="left"/>
      </w:pPr>
      <w:r>
        <w:rPr>
          <w:b/>
        </w:rPr>
        <w:t>c) Fehlinformation der Mandantin:</w:t>
      </w:r>
      <w:r>
        <w:t xml:space="preserve"> Die Formulierung „meine Vertragsprüfung" suggerierte eine eigenständige anwaltliche Prüfung, die tatsächlich nicht stattgefunden hatte.</w:t>
      </w:r>
    </w:p>
    <w:p>
      <w:pPr>
        <w:jc w:val="left"/>
      </w:pPr>
      <w:r>
        <w:rPr>
          <w:b/>
        </w:rPr>
        <w:t>Ergebnis:</w:t>
      </w:r>
      <w:r>
        <w:t xml:space="preserve"> Pflichtverletzung (+), mehrfach.</w:t>
      </w:r>
    </w:p>
    <w:p/>
    <w:p>
      <w:pPr>
        <w:pStyle w:val="Heading2"/>
      </w:pPr>
      <w:r>
        <w:rPr>
          <w:rFonts w:ascii="Times New Roman" w:hAnsi="Times New Roman"/>
        </w:rPr>
        <w:t>4. Vertretenmüssen (§ 276 BGB)</w:t>
      </w:r>
    </w:p>
    <w:p>
      <w:pPr>
        <w:pStyle w:val="Heading3"/>
      </w:pPr>
      <w:r>
        <w:rPr>
          <w:rFonts w:ascii="Times New Roman" w:hAnsi="Times New Roman"/>
        </w:rPr>
        <w:t>4.1 Fahrlässigkeit</w:t>
      </w:r>
    </w:p>
    <w:p>
      <w:pPr>
        <w:jc w:val="left"/>
      </w:pPr>
      <w:r>
        <w:t>Gemäß § 276 Abs. 2 BGB handelt fahrlässig, wer die im Verkehr erforderliche Sorgfalt außer Acht lässt. Der im Verkehr erforderliche Sorgfaltsmaßstab für einen Fachanwalt für Familienrecht mit 24 Jahren Berufserfahrung ist hoch. Dr. Rotbruch hätte:</w:t>
      </w:r>
    </w:p>
    <w:p>
      <w:pPr>
        <w:pStyle w:val="ListBullet"/>
      </w:pPr>
      <w:r>
        <w:t>die einschlägige BGH-Rechtsprechung zur Ehevertrags-Inhaltskontrolle kennen müssen,</w:t>
      </w:r>
    </w:p>
    <w:p>
      <w:pPr>
        <w:pStyle w:val="ListBullet"/>
      </w:pPr>
      <w:r>
        <w:t>die Grenzen des KI-Tools bei der Sittenwidrigkeitsprüfung kennen müssen (diese standen in der Produktdokumentation),</w:t>
      </w:r>
    </w:p>
    <w:p>
      <w:pPr>
        <w:pStyle w:val="ListBullet"/>
      </w:pPr>
      <w:r>
        <w:t>die Pflicht zur eigenverantwortlichen Prüfung kennen müssen.</w:t>
      </w:r>
    </w:p>
    <w:p>
      <w:pPr>
        <w:jc w:val="left"/>
      </w:pPr>
      <w:r>
        <w:t>Alle drei Pflichtenebenen sind verletzt. Fahrlässigkeit liegt vor; angesichts der expliziten Produktdokumentation und der Entfernung des Warnhinweises ist auch bedingter Vorsatz nicht ausgeschlossen.</w:t>
      </w:r>
    </w:p>
    <w:p>
      <w:pPr>
        <w:jc w:val="left"/>
      </w:pPr>
      <w:r>
        <w:rPr>
          <w:b/>
        </w:rPr>
        <w:t>Ergebnis:</w:t>
      </w:r>
      <w:r>
        <w:t xml:space="preserve"> Vertretenmüssen (+), mindestens Fahrlässigkeit.</w:t>
      </w:r>
    </w:p>
    <w:p/>
    <w:p>
      <w:pPr>
        <w:pStyle w:val="Heading2"/>
      </w:pPr>
      <w:r>
        <w:rPr>
          <w:rFonts w:ascii="Times New Roman" w:hAnsi="Times New Roman"/>
        </w:rPr>
        <w:t>5. Schaden</w:t>
      </w:r>
    </w:p>
    <w:p>
      <w:pPr>
        <w:jc w:val="left"/>
      </w:pPr>
      <w:r>
        <w:t>Der Schaden von Frau Habernau ergibt sich aus der Differenz zwischen ihrer rechtlichen Stellung mit und ohne den pflichtgemäß erteilten anwaltlichen Rat.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Schadensposten</w:t>
            </w:r>
          </w:p>
        </w:tc>
        <w:tc>
          <w:tcPr>
            <w:tcW w:type="dxa" w:w="3024"/>
          </w:tcPr>
          <w:p>
            <w:r>
              <w:rPr>
                <w:rFonts w:ascii="Times New Roman" w:hAnsi="Times New Roman"/>
                <w:b/>
                <w:sz w:val="20"/>
              </w:rPr>
              <w:t>Berechnung</w:t>
            </w:r>
          </w:p>
        </w:tc>
        <w:tc>
          <w:tcPr>
            <w:tcW w:type="dxa" w:w="3024"/>
          </w:tcPr>
          <w:p>
            <w:r>
              <w:rPr>
                <w:rFonts w:ascii="Times New Roman" w:hAnsi="Times New Roman"/>
                <w:b/>
                <w:sz w:val="20"/>
              </w:rPr>
              <w:t>Betrag (EUR)</w:t>
            </w:r>
          </w:p>
        </w:tc>
      </w:tr>
      <w:tr>
        <w:tc>
          <w:tcPr>
            <w:tcW w:type="dxa" w:w="3024"/>
          </w:tcPr>
          <w:p>
            <w:r>
              <w:rPr>
                <w:rFonts w:ascii="Times New Roman" w:hAnsi="Times New Roman"/>
                <w:sz w:val="20"/>
              </w:rPr>
              <w:t>Entgangener Versorgungsausgleich</w:t>
            </w:r>
          </w:p>
        </w:tc>
        <w:tc>
          <w:tcPr>
            <w:tcW w:type="dxa" w:w="3024"/>
          </w:tcPr>
          <w:p>
            <w:r>
              <w:rPr>
                <w:rFonts w:ascii="Times New Roman" w:hAnsi="Times New Roman"/>
                <w:sz w:val="20"/>
              </w:rPr>
              <w:t>Kapitalisierter Wert des entgangenen Rentenanteils (Details s. XLSX)</w:t>
            </w:r>
          </w:p>
        </w:tc>
        <w:tc>
          <w:tcPr>
            <w:tcW w:type="dxa" w:w="3024"/>
          </w:tcPr>
          <w:p>
            <w:r>
              <w:rPr>
                <w:rFonts w:ascii="Times New Roman" w:hAnsi="Times New Roman"/>
                <w:sz w:val="20"/>
              </w:rPr>
              <w:t>124.000</w:t>
            </w:r>
          </w:p>
        </w:tc>
      </w:tr>
      <w:tr>
        <w:tc>
          <w:tcPr>
            <w:tcW w:type="dxa" w:w="3024"/>
          </w:tcPr>
          <w:p>
            <w:r>
              <w:rPr>
                <w:rFonts w:ascii="Times New Roman" w:hAnsi="Times New Roman"/>
                <w:sz w:val="20"/>
              </w:rPr>
              <w:t>Entgangener Zugewinn</w:t>
            </w:r>
          </w:p>
        </w:tc>
        <w:tc>
          <w:tcPr>
            <w:tcW w:type="dxa" w:w="3024"/>
          </w:tcPr>
          <w:p>
            <w:r>
              <w:rPr>
                <w:rFonts w:ascii="Times New Roman" w:hAnsi="Times New Roman"/>
                <w:sz w:val="20"/>
              </w:rPr>
              <w:t>Nachgewiesene Differenz im Zugewinnausgleichsanspruch</w:t>
            </w:r>
          </w:p>
        </w:tc>
        <w:tc>
          <w:tcPr>
            <w:tcW w:type="dxa" w:w="3024"/>
          </w:tcPr>
          <w:p>
            <w:r>
              <w:rPr>
                <w:rFonts w:ascii="Times New Roman" w:hAnsi="Times New Roman"/>
                <w:sz w:val="20"/>
              </w:rPr>
              <w:t>48.000</w:t>
            </w:r>
          </w:p>
        </w:tc>
      </w:tr>
      <w:tr>
        <w:tc>
          <w:tcPr>
            <w:tcW w:type="dxa" w:w="3024"/>
          </w:tcPr>
          <w:p>
            <w:r>
              <w:rPr>
                <w:rFonts w:ascii="Times New Roman" w:hAnsi="Times New Roman"/>
                <w:sz w:val="20"/>
              </w:rPr>
              <w:t>Mehrkosten Scheidungsverfahren</w:t>
            </w:r>
          </w:p>
        </w:tc>
        <w:tc>
          <w:tcPr>
            <w:tcW w:type="dxa" w:w="3024"/>
          </w:tcPr>
          <w:p>
            <w:r>
              <w:rPr>
                <w:rFonts w:ascii="Times New Roman" w:hAnsi="Times New Roman"/>
                <w:sz w:val="20"/>
              </w:rPr>
              <w:t>Kosten für Bestreitung Vertragswirksamkeit</w:t>
            </w:r>
          </w:p>
        </w:tc>
        <w:tc>
          <w:tcPr>
            <w:tcW w:type="dxa" w:w="3024"/>
          </w:tcPr>
          <w:p>
            <w:r>
              <w:rPr>
                <w:rFonts w:ascii="Times New Roman" w:hAnsi="Times New Roman"/>
                <w:sz w:val="20"/>
              </w:rPr>
              <w:t>9.800</w:t>
            </w:r>
          </w:p>
        </w:tc>
      </w:tr>
      <w:tr>
        <w:tc>
          <w:tcPr>
            <w:tcW w:type="dxa" w:w="3024"/>
          </w:tcPr>
          <w:p>
            <w:r>
              <w:rPr>
                <w:rFonts w:ascii="Times New Roman" w:hAnsi="Times New Roman"/>
                <w:sz w:val="20"/>
              </w:rPr>
              <w:t>Vorprozessuale Kosten</w:t>
            </w:r>
          </w:p>
        </w:tc>
        <w:tc>
          <w:tcPr>
            <w:tcW w:type="dxa" w:w="3024"/>
          </w:tcPr>
          <w:p>
            <w:r>
              <w:rPr>
                <w:rFonts w:ascii="Times New Roman" w:hAnsi="Times New Roman"/>
                <w:sz w:val="20"/>
              </w:rPr>
              <w:t>Anwalts- und Gutachterkosten vorprozessual</w:t>
            </w:r>
          </w:p>
        </w:tc>
        <w:tc>
          <w:tcPr>
            <w:tcW w:type="dxa" w:w="3024"/>
          </w:tcPr>
          <w:p>
            <w:r>
              <w:rPr>
                <w:rFonts w:ascii="Times New Roman" w:hAnsi="Times New Roman"/>
                <w:sz w:val="20"/>
              </w:rPr>
              <w:t>5.200</w:t>
            </w:r>
          </w:p>
        </w:tc>
      </w:tr>
      <w:tr>
        <w:tc>
          <w:tcPr>
            <w:tcW w:type="dxa" w:w="3024"/>
          </w:tcPr>
          <w:p>
            <w:r>
              <w:rPr>
                <w:rFonts w:ascii="Times New Roman" w:hAnsi="Times New Roman"/>
                <w:b/>
                <w:sz w:val="20"/>
              </w:rPr>
              <w:t>Gesamt</w:t>
            </w:r>
          </w:p>
        </w:tc>
        <w:tc>
          <w:tcPr>
            <w:tcW w:type="dxa" w:w="3024"/>
          </w:tcPr>
          <w:p/>
        </w:tc>
        <w:tc>
          <w:tcPr>
            <w:tcW w:type="dxa" w:w="3024"/>
          </w:tcPr>
          <w:p>
            <w:r>
              <w:rPr>
                <w:rFonts w:ascii="Times New Roman" w:hAnsi="Times New Roman"/>
                <w:b/>
                <w:sz w:val="20"/>
              </w:rPr>
              <w:t>187.000</w:t>
            </w:r>
          </w:p>
        </w:tc>
      </w:tr>
    </w:tbl>
    <w:p>
      <w:pPr>
        <w:jc w:val="left"/>
      </w:pPr>
      <w:r>
        <w:rPr>
          <w:b/>
        </w:rPr>
        <w:t>Ergebnis:</w:t>
      </w:r>
      <w:r>
        <w:t xml:space="preserve"> Schaden nachgewiesen (+).</w:t>
      </w:r>
    </w:p>
    <w:p/>
    <w:p>
      <w:pPr>
        <w:pStyle w:val="Heading2"/>
      </w:pPr>
      <w:r>
        <w:rPr>
          <w:rFonts w:ascii="Times New Roman" w:hAnsi="Times New Roman"/>
        </w:rPr>
        <w:t>6. Kausalität</w:t>
      </w:r>
    </w:p>
    <w:p>
      <w:pPr>
        <w:pStyle w:val="Heading3"/>
      </w:pPr>
      <w:r>
        <w:rPr>
          <w:rFonts w:ascii="Times New Roman" w:hAnsi="Times New Roman"/>
        </w:rPr>
        <w:t>6.1 Haftungsbegründende Kausalität</w:t>
      </w:r>
    </w:p>
    <w:p>
      <w:pPr>
        <w:jc w:val="left"/>
      </w:pPr>
      <w:r>
        <w:t>Die Pflichtverletzung (fehlende Aufklärung über das Sittenwidrigkeitsrisiko) ist kausal für den Abschluss des Ehevertrags in der vorliegenden Form. Nach dem Anscheinsbeweis anwaltspflichtgemäßen Verhaltens (BGH, IX ZR 136/07) ist davon auszugehen, dass Frau Habernau bei ordnungsgemäßer Beratung den Ehevertrag nicht in dieser Gestalt abgeschlossen hätte.</w:t>
      </w:r>
    </w:p>
    <w:p>
      <w:pPr>
        <w:jc w:val="left"/>
      </w:pPr>
      <w:r>
        <w:t>Dr. Rotbruchs Einwand (persönlicher Druck, Hochzeitsdatum fixiert) ist nicht geeignet, den Anscheinsbeweis zu erschüttern: Es fehlt konkreter Vortrag dazu, dass Frau Habernau auch bei vollständiger Aufklärung das Risiko bewusst eingegangen wäre.</w:t>
      </w:r>
    </w:p>
    <w:p>
      <w:pPr>
        <w:pStyle w:val="Heading3"/>
      </w:pPr>
      <w:r>
        <w:rPr>
          <w:rFonts w:ascii="Times New Roman" w:hAnsi="Times New Roman"/>
        </w:rPr>
        <w:t>6.2 Haftungsausfüllende Kausalität</w:t>
      </w:r>
    </w:p>
    <w:p>
      <w:pPr>
        <w:jc w:val="left"/>
      </w:pPr>
      <w:r>
        <w:t>Die Schäden ergeben sich unmittelbar aus dem Ehevertrag, der infolge der Pflichtverletzung abgeschlossen wurde. Der Kausalzusammenhang ist durch die Beschlussformel des AG Köln (302 F 1147/25) belegt.</w:t>
      </w:r>
    </w:p>
    <w:p>
      <w:pPr>
        <w:jc w:val="left"/>
      </w:pPr>
      <w:r>
        <w:rPr>
          <w:b/>
        </w:rPr>
        <w:t>Ergebnis:</w:t>
      </w:r>
      <w:r>
        <w:t xml:space="preserve"> Kausalität (+).</w:t>
      </w:r>
    </w:p>
    <w:p/>
    <w:p>
      <w:pPr>
        <w:pStyle w:val="Heading2"/>
      </w:pPr>
      <w:r>
        <w:rPr>
          <w:rFonts w:ascii="Times New Roman" w:hAnsi="Times New Roman"/>
        </w:rPr>
        <w:t>7. Gesamtergebnis</w:t>
      </w:r>
    </w:p>
    <w:p>
      <w:pPr>
        <w:jc w:val="left"/>
      </w:pPr>
      <w:r>
        <w:rPr>
          <w:b/>
        </w:rPr>
        <w:t>Dr. Rotbruch schuldet Frau Habernau Schadensersatz nach §§ 280 Abs. 1, 675 BGB in Höhe von 187.000 EUR.</w:t>
      </w:r>
    </w:p>
    <w:p/>
    <w:p>
      <w:pPr>
        <w:jc w:val="left"/>
      </w:pPr>
      <w:r>
        <w:rPr>
          <w:b/>
        </w:rPr>
        <w:t>Quellen:</w:t>
      </w:r>
    </w:p>
    <w:p>
      <w:pPr>
        <w:pStyle w:val="ListBullet"/>
      </w:pPr>
      <w:r>
        <w:t>§ 280 BGB (dejure.org)</w:t>
      </w:r>
    </w:p>
    <w:p>
      <w:pPr>
        <w:pStyle w:val="ListBullet"/>
      </w:pPr>
      <w:r>
        <w:t>§ 675 BGB (dejure.org)</w:t>
      </w:r>
    </w:p>
    <w:p>
      <w:pPr>
        <w:pStyle w:val="ListBullet"/>
      </w:pPr>
      <w:r>
        <w:t>§ 276 BGB (dejure.org)</w:t>
      </w:r>
    </w:p>
    <w:p>
      <w:pPr>
        <w:pStyle w:val="ListBullet"/>
      </w:pPr>
      <w:r>
        <w:t>§ 138 BGB (dejure.org)</w:t>
      </w:r>
    </w:p>
    <w:p>
      <w:pPr>
        <w:pStyle w:val="ListBullet"/>
      </w:pPr>
      <w:r>
        <w:t>BGH IX ZR 136/07 (openjur.de)</w:t>
      </w:r>
    </w:p>
    <w:p>
      <w:pPr>
        <w:pStyle w:val="ListBullet"/>
      </w:pPr>
      <w:r>
        <w:t>BGH XII ZR 75/22 (bundesgerichtshof.de)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