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Mitverschulden — § 254 BGB, Habernau</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Mitverschulden im Anwaltshaftungsrecht</w:t>
      </w:r>
    </w:p>
    <w:p>
      <w:pPr>
        <w:jc w:val="left"/>
      </w:pPr>
      <w:r>
        <w:t>§ 254 BGB erlaubt eine Schadensquotelung, wenn der Geschädigte zur Entstehung des Schadens durch eigenes Verschulden beigetragen hat. Im Anwaltshaftungsrecht ist ein Mitverschulden des Mandanten grundsätzlich möglich, aber nach ständiger BGH-Rechtsprechung sehr restriktiv zu handhaben: Der Mandant soll sich auf die anwaltliche Beratung verlassen dürfen; übermäßige Eigenrecherche ist von ihm nicht zu erwarten.</w:t>
      </w:r>
    </w:p>
    <w:p>
      <w:pPr>
        <w:jc w:val="left"/>
      </w:pPr>
      <w:r>
        <w:t>Der BGH (IX ZR 50/95) hat ausgeführt:</w:t>
      </w:r>
    </w:p>
    <w:p>
      <w:pPr>
        <w:ind w:left="567"/>
      </w:pPr>
      <w:r>
        <w:rPr>
          <w:i/>
        </w:rPr>
        <w:t>„Hat der Mandant einen Rechtsanwalt mit der Wahrnehmung seiner Interessen beauftragt, so obliegt ihm grundsätzlich keine Pflicht zur eigenen Rechtsprüfung. Ein Mitverschulden kommt nur in Betracht, wenn der Mandant Kenntnisse hatte oder haben musste, die eine Korrektur der anwaltlichen Beratung ermöglicht hätten."</w:t>
      </w:r>
    </w:p>
    <w:p/>
    <w:p>
      <w:pPr>
        <w:pStyle w:val="Heading2"/>
      </w:pPr>
      <w:r>
        <w:rPr>
          <w:rFonts w:ascii="Times New Roman" w:hAnsi="Times New Roman"/>
        </w:rPr>
        <w:t>2. Mitverschuldens-Argumente von Dr. Rotbruch</w:t>
      </w:r>
    </w:p>
    <w:p>
      <w:pPr>
        <w:jc w:val="left"/>
      </w:pPr>
      <w:r>
        <w:t xml:space="preserve">Dr. Rotbruch macht in der Klageerwiderung (DOCX </w:t>
      </w:r>
      <w:r>
        <w:t>klageerwiderung_habernau_2o188_26.docx</w:t>
      </w:r>
      <w:r>
        <w:t>) folgende Mitverschuldenseinwände geltend:</w:t>
      </w:r>
    </w:p>
    <w:p>
      <w:pPr>
        <w:pStyle w:val="Heading3"/>
      </w:pPr>
      <w:r>
        <w:rPr>
          <w:rFonts w:ascii="Times New Roman" w:hAnsi="Times New Roman"/>
        </w:rPr>
        <w:t>2.1 Belehrung durch den Notar</w:t>
      </w:r>
    </w:p>
    <w:p>
      <w:pPr>
        <w:jc w:val="left"/>
      </w:pPr>
      <w:r>
        <w:t>Bei der notariellen Beurkundung am 28. April 2022 hat Notar Bergstedt die Parteien nach § 17 BeurkG über die rechtlichen Folgen des Ehevertrags belehrt. Frau Habernau habe die Belehrung zur Kenntnis genommen und unterschrieben, ohne Bedenken zu äußern.</w:t>
      </w:r>
    </w:p>
    <w:p>
      <w:pPr>
        <w:jc w:val="left"/>
      </w:pPr>
      <w:r>
        <w:rPr>
          <w:b/>
        </w:rPr>
        <w:t>Bewertung:</w:t>
      </w:r>
      <w:r>
        <w:t xml:space="preserve"> Die notarielle Belehrung nach § 17 BeurkG ersetzt nicht die anwaltliche Beratungspflicht. Zudem ist die notarielle Belehrung neutral — sie klärt über die Rechtswirkungen auf, nicht über spezifische Sittenwidrigkeitsrisiken. Ein Mitverschulden aus der Unterzeichnung nach notarieller Belehrung erscheint nicht begründbar.</w:t>
      </w:r>
    </w:p>
    <w:p>
      <w:pPr>
        <w:pStyle w:val="Heading3"/>
      </w:pPr>
      <w:r>
        <w:rPr>
          <w:rFonts w:ascii="Times New Roman" w:hAnsi="Times New Roman"/>
        </w:rPr>
        <w:t>2.2 Eigene Erkennbarkeit des Risikos</w:t>
      </w:r>
    </w:p>
    <w:p>
      <w:pPr>
        <w:jc w:val="left"/>
      </w:pPr>
      <w:r>
        <w:t>Dr. Rotbruch trägt vor, Frau Habernau hätte als Erwachsene die Tragweite eines vollständigen Verzichts auf Versorgungsausgleich, Zugewinn und Unterhalt erkennen können.</w:t>
      </w:r>
    </w:p>
    <w:p>
      <w:pPr>
        <w:jc w:val="left"/>
      </w:pPr>
      <w:r>
        <w:rPr>
          <w:b/>
        </w:rPr>
        <w:t>Bewertung:</w:t>
      </w:r>
      <w:r>
        <w:t xml:space="preserve"> Die bloße Erkennbarkeit der Tragweite ohne Kenntnis der rechtlichen Angreifbarkeit nach § 138 BGB begründet kein Mitverschulden. Es wäre gerade Aufgabe des Anwalts gewesen, auf diese rechtliche Dimension hinzuweisen. Die faktische Kenntnis des Inhalts ersetzt nicht das fehlende juristische Urteil.</w:t>
      </w:r>
    </w:p>
    <w:p>
      <w:pPr>
        <w:pStyle w:val="Heading3"/>
      </w:pPr>
      <w:r>
        <w:rPr>
          <w:rFonts w:ascii="Times New Roman" w:hAnsi="Times New Roman"/>
        </w:rPr>
        <w:t>2.3 Persönlicher Druck, keine freie Entscheidung</w:t>
      </w:r>
    </w:p>
    <w:p>
      <w:pPr>
        <w:jc w:val="left"/>
      </w:pPr>
      <w:r>
        <w:t>Dr. Rotbruch behauptet, Frau Habernau habe angegeben, unter erheblichem familiären Druck gestanden zu haben und hätte den Vertrag auch bei vollständiger Aufklärung unterschrieben. Dies begründe eine Kausalitätsunterbrechung, mindestens aber Mitverschulden.</w:t>
      </w:r>
    </w:p>
    <w:p>
      <w:pPr>
        <w:jc w:val="left"/>
      </w:pPr>
      <w:r>
        <w:rPr>
          <w:b/>
        </w:rPr>
        <w:t>Bewertung:</w:t>
      </w:r>
      <w:r>
        <w:t xml:space="preserve"> Diese Behauptung ist nicht durch objektive Beweise unterlegt. Der anwaltliche Anscheinsbeweis (BGH IX ZR 136/07) greift: Bei ordnungsgemäßer Beratung hätte die Mandantin zumindest auf Nachverhandlungen oder Schutzklauseln bestanden. Der Vortrag von Dr. Rotbruch ist spekulativ.</w:t>
      </w:r>
    </w:p>
    <w:p/>
    <w:p>
      <w:pPr>
        <w:pStyle w:val="Heading2"/>
      </w:pPr>
      <w:r>
        <w:rPr>
          <w:rFonts w:ascii="Times New Roman" w:hAnsi="Times New Roman"/>
        </w:rPr>
        <w:t>3. Eigenes Mitverschulden — Diskussion und Ergebnis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Einwand</w:t>
            </w:r>
          </w:p>
        </w:tc>
        <w:tc>
          <w:tcPr>
            <w:tcW w:type="dxa" w:w="3024"/>
          </w:tcPr>
          <w:p>
            <w:r>
              <w:rPr>
                <w:rFonts w:ascii="Times New Roman" w:hAnsi="Times New Roman"/>
                <w:b/>
                <w:sz w:val="20"/>
              </w:rPr>
              <w:t>Bewertung</w:t>
            </w:r>
          </w:p>
        </w:tc>
        <w:tc>
          <w:tcPr>
            <w:tcW w:type="dxa" w:w="3024"/>
          </w:tcPr>
          <w:p>
            <w:r>
              <w:rPr>
                <w:rFonts w:ascii="Times New Roman" w:hAnsi="Times New Roman"/>
                <w:b/>
                <w:sz w:val="20"/>
              </w:rPr>
              <w:t>Mitverschulden</w:t>
            </w:r>
          </w:p>
        </w:tc>
      </w:tr>
      <w:tr>
        <w:tc>
          <w:tcPr>
            <w:tcW w:type="dxa" w:w="3024"/>
          </w:tcPr>
          <w:p>
            <w:r>
              <w:rPr>
                <w:rFonts w:ascii="Times New Roman" w:hAnsi="Times New Roman"/>
                <w:sz w:val="20"/>
              </w:rPr>
              <w:t>Notarielle Belehrung</w:t>
            </w:r>
          </w:p>
        </w:tc>
        <w:tc>
          <w:tcPr>
            <w:tcW w:type="dxa" w:w="3024"/>
          </w:tcPr>
          <w:p>
            <w:r>
              <w:rPr>
                <w:rFonts w:ascii="Times New Roman" w:hAnsi="Times New Roman"/>
                <w:sz w:val="20"/>
              </w:rPr>
              <w:t>Ersetzt Anwaltsberatung nicht</w:t>
            </w:r>
          </w:p>
        </w:tc>
        <w:tc>
          <w:tcPr>
            <w:tcW w:type="dxa" w:w="3024"/>
          </w:tcPr>
          <w:p>
            <w:r>
              <w:rPr>
                <w:rFonts w:ascii="Times New Roman" w:hAnsi="Times New Roman"/>
                <w:sz w:val="20"/>
              </w:rPr>
              <w:t>Kein Mitverschulden</w:t>
            </w:r>
          </w:p>
        </w:tc>
      </w:tr>
      <w:tr>
        <w:tc>
          <w:tcPr>
            <w:tcW w:type="dxa" w:w="3024"/>
          </w:tcPr>
          <w:p>
            <w:r>
              <w:rPr>
                <w:rFonts w:ascii="Times New Roman" w:hAnsi="Times New Roman"/>
                <w:sz w:val="20"/>
              </w:rPr>
              <w:t>Erkennbarkeit der Verzichtsfolgen</w:t>
            </w:r>
          </w:p>
        </w:tc>
        <w:tc>
          <w:tcPr>
            <w:tcW w:type="dxa" w:w="3024"/>
          </w:tcPr>
          <w:p>
            <w:r>
              <w:rPr>
                <w:rFonts w:ascii="Times New Roman" w:hAnsi="Times New Roman"/>
                <w:sz w:val="20"/>
              </w:rPr>
              <w:t>Juristische Dimension nicht erkennbar</w:t>
            </w:r>
          </w:p>
        </w:tc>
        <w:tc>
          <w:tcPr>
            <w:tcW w:type="dxa" w:w="3024"/>
          </w:tcPr>
          <w:p>
            <w:r>
              <w:rPr>
                <w:rFonts w:ascii="Times New Roman" w:hAnsi="Times New Roman"/>
                <w:sz w:val="20"/>
              </w:rPr>
              <w:t>Kein Mitverschulden</w:t>
            </w:r>
          </w:p>
        </w:tc>
      </w:tr>
      <w:tr>
        <w:tc>
          <w:tcPr>
            <w:tcW w:type="dxa" w:w="3024"/>
          </w:tcPr>
          <w:p>
            <w:r>
              <w:rPr>
                <w:rFonts w:ascii="Times New Roman" w:hAnsi="Times New Roman"/>
                <w:sz w:val="20"/>
              </w:rPr>
              <w:t>Persönlicher Druck</w:t>
            </w:r>
          </w:p>
        </w:tc>
        <w:tc>
          <w:tcPr>
            <w:tcW w:type="dxa" w:w="3024"/>
          </w:tcPr>
          <w:p>
            <w:r>
              <w:rPr>
                <w:rFonts w:ascii="Times New Roman" w:hAnsi="Times New Roman"/>
                <w:sz w:val="20"/>
              </w:rPr>
              <w:t>Unbewiesen; Anscheinsbeweis greift</w:t>
            </w:r>
          </w:p>
        </w:tc>
        <w:tc>
          <w:tcPr>
            <w:tcW w:type="dxa" w:w="3024"/>
          </w:tcPr>
          <w:p>
            <w:r>
              <w:rPr>
                <w:rFonts w:ascii="Times New Roman" w:hAnsi="Times New Roman"/>
                <w:sz w:val="20"/>
              </w:rPr>
              <w:t>Kein Mitverschulden</w:t>
            </w:r>
          </w:p>
        </w:tc>
      </w:tr>
      <w:tr>
        <w:tc>
          <w:tcPr>
            <w:tcW w:type="dxa" w:w="3024"/>
          </w:tcPr>
          <w:p>
            <w:r>
              <w:rPr>
                <w:rFonts w:ascii="Times New Roman" w:hAnsi="Times New Roman"/>
                <w:sz w:val="20"/>
              </w:rPr>
              <w:t>Keine Rückfragen nach E-Mail</w:t>
            </w:r>
          </w:p>
        </w:tc>
        <w:tc>
          <w:tcPr>
            <w:tcW w:type="dxa" w:w="3024"/>
          </w:tcPr>
          <w:p>
            <w:r>
              <w:rPr>
                <w:rFonts w:ascii="Times New Roman" w:hAnsi="Times New Roman"/>
                <w:sz w:val="20"/>
              </w:rPr>
              <w:t>Mandant darf sich auf anwaltliche Analyse verlassen</w:t>
            </w:r>
          </w:p>
        </w:tc>
        <w:tc>
          <w:tcPr>
            <w:tcW w:type="dxa" w:w="3024"/>
          </w:tcPr>
          <w:p>
            <w:r>
              <w:rPr>
                <w:rFonts w:ascii="Times New Roman" w:hAnsi="Times New Roman"/>
                <w:sz w:val="20"/>
              </w:rPr>
              <w:t>Allenfalls minimales Mitverschulden (&lt; 10 %)</w:t>
            </w:r>
          </w:p>
        </w:tc>
      </w:tr>
    </w:tbl>
    <w:p>
      <w:pPr>
        <w:jc w:val="left"/>
      </w:pPr>
      <w:r>
        <w:t>Das Mitverschulden von Frau Habernau ist nach der Rechtsprechung des BGH auf maximal 10 Prozent zu schätzen — und auch dies nur unter der Annahme, dass sie bei professionell beratenen Vertragsschlüssen eine gewisse Eigenverantwortung trägt. Bei einem Gesamtschaden von 187.000 EUR ergäbe eine 10-prozentige Schadensquote eine Minderung von 18.700 EUR und einen verbleibenden Anspruch von 168.300 EUR.</w:t>
      </w:r>
    </w:p>
    <w:p/>
    <w:p>
      <w:pPr>
        <w:pStyle w:val="Heading2"/>
      </w:pPr>
      <w:r>
        <w:rPr>
          <w:rFonts w:ascii="Times New Roman" w:hAnsi="Times New Roman"/>
        </w:rPr>
        <w:t>4. Konsequenz für die Vergleichsstrategie</w:t>
      </w:r>
    </w:p>
    <w:p>
      <w:pPr>
        <w:jc w:val="left"/>
      </w:pPr>
      <w:r>
        <w:t>Im Rahmen der Vergleichsstrategie (Aktenstück 20) sollte berücksichtigt werden, dass ein Mitverschulden von allenfalls 10 Prozent realistisch ist. Eine Vergleichsquote von 130.000 bis 160.000 EUR wäre sachgerecht und dürfte für beide Parteien interessant sein.</w:t>
      </w:r>
    </w:p>
    <w:p/>
    <w:p>
      <w:pPr>
        <w:jc w:val="left"/>
      </w:pPr>
      <w:r>
        <w:rPr>
          <w:b/>
        </w:rPr>
        <w:t>Quellen:</w:t>
      </w:r>
    </w:p>
    <w:p>
      <w:pPr>
        <w:pStyle w:val="ListBullet"/>
      </w:pPr>
      <w:r>
        <w:t>§ 254 BGB (dejure.org)</w:t>
      </w:r>
    </w:p>
    <w:p>
      <w:pPr>
        <w:pStyle w:val="ListBullet"/>
      </w:pPr>
      <w:r>
        <w:t>§ 280 BGB (dejure.org)</w:t>
      </w:r>
    </w:p>
    <w:p>
      <w:pPr>
        <w:pStyle w:val="ListBullet"/>
      </w:pPr>
      <w:r>
        <w:t>§ 17 BeurkG (dejure.org)</w:t>
      </w:r>
    </w:p>
    <w:p>
      <w:pPr>
        <w:pStyle w:val="ListBullet"/>
      </w:pPr>
      <w:r>
        <w:t>BGH IX ZR 50/95 (openjur.de)</w:t>
      </w:r>
    </w:p>
    <w:p>
      <w:pPr>
        <w:pStyle w:val="ListBullet"/>
      </w:pPr>
      <w:r>
        <w:t>BGH IX ZR 136/07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