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20 Vergleichsstrategie und Mediation</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Ausgangslage für die Vergleichsverhandlung</w:t>
      </w:r>
    </w:p>
    <w:p>
      <w:pPr>
        <w:jc w:val="left"/>
      </w:pPr>
      <w:r>
        <w:t>Die Ausgangspositionen der Parteien für den Gütetermin am 15. Mai 2026 (LG Köln):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Klägerin (Habernau)</w:t>
            </w:r>
          </w:p>
        </w:tc>
        <w:tc>
          <w:tcPr>
            <w:tcW w:type="dxa" w:w="3024"/>
          </w:tcPr>
          <w:p>
            <w:r>
              <w:rPr>
                <w:rFonts w:ascii="Times New Roman" w:hAnsi="Times New Roman"/>
                <w:b/>
                <w:sz w:val="20"/>
              </w:rPr>
              <w:t>Beklagter (Rotbruch)</w:t>
            </w:r>
          </w:p>
        </w:tc>
      </w:tr>
      <w:tr>
        <w:tc>
          <w:tcPr>
            <w:tcW w:type="dxa" w:w="3024"/>
          </w:tcPr>
          <w:p>
            <w:r>
              <w:rPr>
                <w:rFonts w:ascii="Times New Roman" w:hAnsi="Times New Roman"/>
                <w:sz w:val="20"/>
              </w:rPr>
              <w:t>Forderung</w:t>
            </w:r>
          </w:p>
        </w:tc>
        <w:tc>
          <w:tcPr>
            <w:tcW w:type="dxa" w:w="3024"/>
          </w:tcPr>
          <w:p>
            <w:r>
              <w:rPr>
                <w:rFonts w:ascii="Times New Roman" w:hAnsi="Times New Roman"/>
                <w:sz w:val="20"/>
              </w:rPr>
              <w:t>187.000 EUR</w:t>
            </w:r>
          </w:p>
        </w:tc>
        <w:tc>
          <w:tcPr>
            <w:tcW w:type="dxa" w:w="3024"/>
          </w:tcPr>
          <w:p>
            <w:r>
              <w:rPr>
                <w:rFonts w:ascii="Times New Roman" w:hAnsi="Times New Roman"/>
                <w:sz w:val="20"/>
              </w:rPr>
              <w:t>0 EUR (volle Abweisung)</w:t>
            </w:r>
          </w:p>
        </w:tc>
      </w:tr>
      <w:tr>
        <w:tc>
          <w:tcPr>
            <w:tcW w:type="dxa" w:w="3024"/>
          </w:tcPr>
          <w:p>
            <w:r>
              <w:rPr>
                <w:rFonts w:ascii="Times New Roman" w:hAnsi="Times New Roman"/>
                <w:sz w:val="20"/>
              </w:rPr>
              <w:t>Mindestvergleich</w:t>
            </w:r>
          </w:p>
        </w:tc>
        <w:tc>
          <w:tcPr>
            <w:tcW w:type="dxa" w:w="3024"/>
          </w:tcPr>
          <w:p>
            <w:r>
              <w:rPr>
                <w:rFonts w:ascii="Times New Roman" w:hAnsi="Times New Roman"/>
                <w:sz w:val="20"/>
              </w:rPr>
              <w:t>130.000 EUR</w:t>
            </w:r>
          </w:p>
        </w:tc>
        <w:tc>
          <w:tcPr>
            <w:tcW w:type="dxa" w:w="3024"/>
          </w:tcPr>
          <w:p>
            <w:r>
              <w:rPr>
                <w:rFonts w:ascii="Times New Roman" w:hAnsi="Times New Roman"/>
                <w:sz w:val="20"/>
              </w:rPr>
              <w:t>Bisher keine Signale</w:t>
            </w:r>
          </w:p>
        </w:tc>
      </w:tr>
      <w:tr>
        <w:tc>
          <w:tcPr>
            <w:tcW w:type="dxa" w:w="3024"/>
          </w:tcPr>
          <w:p>
            <w:r>
              <w:rPr>
                <w:rFonts w:ascii="Times New Roman" w:hAnsi="Times New Roman"/>
                <w:sz w:val="20"/>
              </w:rPr>
              <w:t>Versicherungsdeckung</w:t>
            </w:r>
          </w:p>
        </w:tc>
        <w:tc>
          <w:tcPr>
            <w:tcW w:type="dxa" w:w="3024"/>
          </w:tcPr>
          <w:p>
            <w:r>
              <w:rPr>
                <w:rFonts w:ascii="Times New Roman" w:hAnsi="Times New Roman"/>
                <w:sz w:val="20"/>
              </w:rPr>
              <w:t>Irrelevant</w:t>
            </w:r>
          </w:p>
        </w:tc>
        <w:tc>
          <w:tcPr>
            <w:tcW w:type="dxa" w:w="3024"/>
          </w:tcPr>
          <w:p>
            <w:r>
              <w:rPr>
                <w:rFonts w:ascii="Times New Roman" w:hAnsi="Times New Roman"/>
                <w:sz w:val="20"/>
              </w:rPr>
              <w:t>Ablehnend (Allianz)</w:t>
            </w:r>
          </w:p>
        </w:tc>
      </w:tr>
      <w:tr>
        <w:tc>
          <w:tcPr>
            <w:tcW w:type="dxa" w:w="3024"/>
          </w:tcPr>
          <w:p>
            <w:r>
              <w:rPr>
                <w:rFonts w:ascii="Times New Roman" w:hAnsi="Times New Roman"/>
                <w:sz w:val="20"/>
              </w:rPr>
              <w:t>Beweislage</w:t>
            </w:r>
          </w:p>
        </w:tc>
        <w:tc>
          <w:tcPr>
            <w:tcW w:type="dxa" w:w="3024"/>
          </w:tcPr>
          <w:p>
            <w:r>
              <w:rPr>
                <w:rFonts w:ascii="Times New Roman" w:hAnsi="Times New Roman"/>
                <w:sz w:val="20"/>
              </w:rPr>
              <w:t>Stark (KI-Output-Vergleich, Handakte)</w:t>
            </w:r>
          </w:p>
        </w:tc>
        <w:tc>
          <w:tcPr>
            <w:tcW w:type="dxa" w:w="3024"/>
          </w:tcPr>
          <w:p>
            <w:r>
              <w:rPr>
                <w:rFonts w:ascii="Times New Roman" w:hAnsi="Times New Roman"/>
                <w:sz w:val="20"/>
              </w:rPr>
              <w:t>Schwach (keine Prüfnotiz)</w:t>
            </w:r>
          </w:p>
        </w:tc>
      </w:tr>
      <w:tr>
        <w:tc>
          <w:tcPr>
            <w:tcW w:type="dxa" w:w="3024"/>
          </w:tcPr>
          <w:p>
            <w:r>
              <w:rPr>
                <w:rFonts w:ascii="Times New Roman" w:hAnsi="Times New Roman"/>
                <w:sz w:val="20"/>
              </w:rPr>
              <w:t>Berufsrechtliches Risiko</w:t>
            </w:r>
          </w:p>
        </w:tc>
        <w:tc>
          <w:tcPr>
            <w:tcW w:type="dxa" w:w="3024"/>
          </w:tcPr>
          <w:p>
            <w:r>
              <w:rPr>
                <w:rFonts w:ascii="Times New Roman" w:hAnsi="Times New Roman"/>
                <w:sz w:val="20"/>
              </w:rPr>
              <w:t>Gering</w:t>
            </w:r>
          </w:p>
        </w:tc>
        <w:tc>
          <w:tcPr>
            <w:tcW w:type="dxa" w:w="3024"/>
          </w:tcPr>
          <w:p>
            <w:r>
              <w:rPr>
                <w:rFonts w:ascii="Times New Roman" w:hAnsi="Times New Roman"/>
                <w:sz w:val="20"/>
              </w:rPr>
              <w:t>Erheblich (5 Vorwürfe RAK)</w:t>
            </w:r>
          </w:p>
        </w:tc>
      </w:tr>
    </w:tbl>
    <w:p/>
    <w:p>
      <w:pPr>
        <w:pStyle w:val="Heading2"/>
      </w:pPr>
      <w:r>
        <w:rPr>
          <w:rFonts w:ascii="Times New Roman" w:hAnsi="Times New Roman"/>
        </w:rPr>
        <w:t>2. Optionen für Dr. Rotbruch</w:t>
      </w:r>
    </w:p>
    <w:p>
      <w:pPr>
        <w:pStyle w:val="Heading3"/>
      </w:pPr>
      <w:r>
        <w:rPr>
          <w:rFonts w:ascii="Times New Roman" w:hAnsi="Times New Roman"/>
        </w:rPr>
        <w:t>Option A: Voll bestreiten — Klageabweisung anstreben</w:t>
      </w:r>
    </w:p>
    <w:p>
      <w:pPr>
        <w:jc w:val="left"/>
      </w:pPr>
      <w:r>
        <w:t>Risiko hoch. Die Beweislage spricht gegen Dr. Rotbruch: 94-prozentige Textübereinstimmung zwischen KI-Output und übersandtem Dokument, fehlende Prüfnotiz, fehlender Original-KI-Output in der Akte. Eine vollständige Klageabweisung ist unwahrscheinlich. Kosten bei vollem Unterliegen: 187.000 EUR + Prozesskosten (Streitwert 187.000 EUR → Gerichtskosten ca. 4.600 EUR, Anwaltskosten ca. 7.800 EUR je Seite).</w:t>
      </w:r>
    </w:p>
    <w:p>
      <w:pPr>
        <w:pStyle w:val="Heading3"/>
      </w:pPr>
      <w:r>
        <w:rPr>
          <w:rFonts w:ascii="Times New Roman" w:hAnsi="Times New Roman"/>
        </w:rPr>
        <w:t>Option B: Vergleich ca. 100.000–130.000 EUR</w:t>
      </w:r>
    </w:p>
    <w:p>
      <w:pPr>
        <w:jc w:val="left"/>
      </w:pPr>
      <w:r>
        <w:t>Sachgerechter Korridor unter Berücksichtigung des Mitverschuldens (5–10 %) und der Kausalitätsunsicherheit beim Unterhaltsverzicht. Vorteil: vermeidet Berufsrechtsverschärfung; zeigt kooperatives Verhalten. Nachteil: Dr. Rotbruch muss aus dem Privatvermögen zahlen (Allianz verweigert Deckung).</w:t>
      </w:r>
    </w:p>
    <w:p>
      <w:pPr>
        <w:pStyle w:val="Heading3"/>
      </w:pPr>
      <w:r>
        <w:rPr>
          <w:rFonts w:ascii="Times New Roman" w:hAnsi="Times New Roman"/>
        </w:rPr>
        <w:t>Option C: Vergleich mit Teilanerkenntnis und Stundungsvereinbarung</w:t>
      </w:r>
    </w:p>
    <w:p>
      <w:pPr>
        <w:jc w:val="left"/>
      </w:pPr>
      <w:r>
        <w:t>Dr. Rotbruch könnte 115.000 EUR in 24 Monatsraten anbieten, was seiner Liquiditätssituation entgegenkommt. Frau Habernau könnte bereit sein, wenn die Rate abgesichert wird (z.B. durch Grundschuldeintragung auf der Kanzleiimmobilie, falls vorhanden).</w:t>
      </w:r>
    </w:p>
    <w:p>
      <w:pPr>
        <w:pStyle w:val="Heading3"/>
      </w:pPr>
      <w:r>
        <w:rPr>
          <w:rFonts w:ascii="Times New Roman" w:hAnsi="Times New Roman"/>
        </w:rPr>
        <w:t>Option D: Deckungsprozess gegen Allianz zuerst</w:t>
      </w:r>
    </w:p>
    <w:p>
      <w:pPr>
        <w:jc w:val="left"/>
      </w:pPr>
      <w:r>
        <w:t>Dr. Rotbruch könnte versuchen, zunächst den Deckungsprozess gegen die Allianz zu gewinnen, bevor er einen Vergleich schließt. Nachteil: Dauer (2–3 Jahre), während das Kammern-Rügeverfahren weiterläuft. Frau Habernau wird eine Sicherheitsleistung oder schnelle Lösung bevorzugen.</w:t>
      </w:r>
    </w:p>
    <w:p/>
    <w:p>
      <w:pPr>
        <w:pStyle w:val="Heading2"/>
      </w:pPr>
      <w:r>
        <w:rPr>
          <w:rFonts w:ascii="Times New Roman" w:hAnsi="Times New Roman"/>
        </w:rPr>
        <w:t>3. Mediation als Ergänzung</w:t>
      </w:r>
    </w:p>
    <w:p>
      <w:pPr>
        <w:jc w:val="left"/>
      </w:pPr>
      <w:r>
        <w:t>Das LG Köln kann nach § 278a ZPO eine Mediation oder ein außergerichtliches Konfliktlösungsverfahren anordnen. Vor dem Gütetermin könnte die Einschaltung eines zertifizierten Mediators sinnvoll sein:</w:t>
      </w:r>
    </w:p>
    <w:p>
      <w:pPr>
        <w:jc w:val="left"/>
      </w:pPr>
      <w:r>
        <w:rPr>
          <w:b/>
        </w:rPr>
        <w:t>Vorteile der Mediation:</w:t>
      </w:r>
    </w:p>
    <w:p>
      <w:pPr>
        <w:pStyle w:val="ListBullet"/>
      </w:pPr>
      <w:r>
        <w:t>Vertraulich (keine öffentliche Verhandlung)</w:t>
      </w:r>
    </w:p>
    <w:p>
      <w:pPr>
        <w:pStyle w:val="ListBullet"/>
      </w:pPr>
      <w:r>
        <w:t>Flexible Lösungen (z.B. Ratenzahlung, Naturalleistungen wie kostenlose Beratung für Frau Habernau in anderen Angelegenheiten)</w:t>
      </w:r>
    </w:p>
    <w:p>
      <w:pPr>
        <w:pStyle w:val="ListBullet"/>
      </w:pPr>
      <w:r>
        <w:t>Entlastet das Kammerverfahren (kooperatives Verhalten)</w:t>
      </w:r>
    </w:p>
    <w:p>
      <w:pPr>
        <w:jc w:val="left"/>
      </w:pPr>
      <w:r>
        <w:rPr>
          <w:b/>
        </w:rPr>
        <w:t>Geeignete Mediationsstelle:</w:t>
      </w:r>
      <w:r>
        <w:t xml:space="preserve"> Schlichtungsstelle der Rechtsanwaltschaft Berlin (zuständig auch für Mandatsstreitigkeiten aus anderen Bundesländern, § 191f BRAO).</w:t>
      </w:r>
    </w:p>
    <w:p/>
    <w:p>
      <w:pPr>
        <w:pStyle w:val="Heading2"/>
      </w:pPr>
      <w:r>
        <w:rPr>
          <w:rFonts w:ascii="Times New Roman" w:hAnsi="Times New Roman"/>
        </w:rPr>
        <w:t>4. Einfluss des Berufsrechtsverfahrens auf Vergleichsstrategie</w:t>
      </w:r>
    </w:p>
    <w:p>
      <w:pPr>
        <w:jc w:val="left"/>
      </w:pPr>
      <w:r>
        <w:t>Das laufende Rügeverfahren (RAK-K 2026-0188) erhöht den Druck auf Dr. Rotbruch, einen Vergleich zu schließen. Im berufsrechtlichen Verfahren kann eine außergerichtliche Einigung mit Frau Habernau als Wiedergutmachung gewertet werden (§ 46a StGB analog) und das Strafmaß senken. Umgekehrt verlängert ein streitiger Zivilprozess die Unsicherheit und kann neue Erkenntnisse zu Lasten von Dr. Rotbruch produzieren, die im Kammerverfahren verwertet werden.</w:t>
      </w:r>
    </w:p>
    <w:p/>
    <w:p>
      <w:pPr>
        <w:pStyle w:val="Heading2"/>
      </w:pPr>
      <w:r>
        <w:rPr>
          <w:rFonts w:ascii="Times New Roman" w:hAnsi="Times New Roman"/>
        </w:rPr>
        <w:t>5. Empfehlung</w:t>
      </w:r>
    </w:p>
    <w:p>
      <w:pPr>
        <w:jc w:val="left"/>
      </w:pPr>
      <w:r>
        <w:t>Für Dr. Rotbruch wird empfohlen:</w:t>
      </w:r>
    </w:p>
    <w:p>
      <w:pPr>
        <w:pStyle w:val="ListNumber"/>
      </w:pPr>
      <w:r>
        <w:t>Gütetermin am 15. Mai 2026 aktiv zu nutzen und ein Vergleichsangebot von 115.000 EUR (zu zahlen in 18 Monaten) zu unterbreiten.</w:t>
      </w:r>
    </w:p>
    <w:p>
      <w:pPr>
        <w:pStyle w:val="ListNumber"/>
      </w:pPr>
      <w:r>
        <w:t>Parallel Deckungsklage gegen Allianz vorzubereiten, um im Fall eines Vergleichs zumindest teilweise Erstattung zu erhalten.</w:t>
      </w:r>
    </w:p>
    <w:p>
      <w:pPr>
        <w:pStyle w:val="ListNumber"/>
      </w:pPr>
      <w:r>
        <w:t>Das Rügeverfahren durch Selbstanzeige weiterer KI-bezogener Vorgänge zu entschärfen (demonstrative Kooperation).</w:t>
      </w:r>
    </w:p>
    <w:p>
      <w:pPr>
        <w:pStyle w:val="ListNumber"/>
      </w:pPr>
      <w:r>
        <w:t>Unverzüglich eine KI-Einsatzrichtlinie einzuführen und der RAK vorzulegen (Aktenstück 13, Anlage DOCX).</w:t>
      </w:r>
    </w:p>
    <w:p/>
    <w:p>
      <w:pPr>
        <w:jc w:val="left"/>
      </w:pPr>
      <w:r>
        <w:rPr>
          <w:b/>
        </w:rPr>
        <w:t>Quellen:</w:t>
      </w:r>
    </w:p>
    <w:p>
      <w:pPr>
        <w:pStyle w:val="ListBullet"/>
      </w:pPr>
      <w:r>
        <w:t>§ 278a ZPO (dejure.org)</w:t>
      </w:r>
    </w:p>
    <w:p>
      <w:pPr>
        <w:pStyle w:val="ListBullet"/>
      </w:pPr>
      <w:r>
        <w:t>§ 191f BRAO (dejure.org)</w:t>
      </w:r>
    </w:p>
    <w:p>
      <w:pPr>
        <w:pStyle w:val="ListBullet"/>
      </w:pPr>
      <w:r>
        <w:t>§ 280 BGB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