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21 Gesamtchronologie aller Verfahren</w:t>
      </w:r>
    </w:p>
    <w:p>
      <w:pPr>
        <w:jc w:val="left"/>
      </w:pPr>
      <w:r>
        <w:rPr>
          <w:b/>
        </w:rPr>
        <w:t>Akte:</w:t>
      </w:r>
      <w:r>
        <w:t xml:space="preserve"> Berufsrecht / KI-Vertragsprüfung — Kanzlei Rotbruch, Köln</w:t>
      </w:r>
    </w:p>
    <w:p>
      <w:pPr>
        <w:jc w:val="left"/>
      </w:pPr>
      <w:r>
        <w:rPr>
          <w:b/>
        </w:rPr>
        <w:t>Stichtag Aktenstück:</w:t>
      </w:r>
      <w:r>
        <w:t xml:space="preserve"> 15. April 2026</w:t>
      </w:r>
    </w:p>
    <w:p/>
    <w:p>
      <w:pPr>
        <w:pStyle w:val="Heading2"/>
      </w:pPr>
      <w:r>
        <w:rPr>
          <w:rFonts w:ascii="Times New Roman" w:hAnsi="Times New Roman"/>
        </w:rPr>
        <w:t>Chronologische Übersicht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 / Strang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03.03.2022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Erstgespräch Habernau / Rotbruch; Mandatsübernahme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07.03.2022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Mandatsbeschreibungsschreiben inkl. Vollmacht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21.03.2022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Upload Ehevertragsentwurf in JuristAssist Pro 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KI-Einsatz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21.03.2022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KI-Output (8 S.) in 47 Sekunden generiert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KI-Einsatz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22.03.2022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E-Mail Rotbruch an Habernau mit bereinigtem KI-Output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28.04.2022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Notarielle Beurkundung Ehevertrag (Notar Bergstedt)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Ehevertrag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14.05.2022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Eheschließung Habernau / Habernau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Ehe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31.05.2022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Honorarrechnung Rotbruch (3.360 EUR netto)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01.07.2023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Nachtrag Allianz: KI-Ausschlussklausel § 4 Nr. 7 AVB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Versicherung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03.02.2025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Scheidungsantrag Hans-Dieter Habernau beim AG Köln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Scheidungsverfahren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04.02.2025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Az. 302 F 1147/25 zugeteilt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Scheidungsverfahren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15.03.2025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RAin Dr. Wiesmann mandatiert durch Frau Habernau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Gegenmandat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10.04.2025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RAin Dr. Wiesmann rügt Unwirksamkeit Ehevertrag § 138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Scheidungsverfahren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03.12.2025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AG Köln 302 F 1147/25: Globalverzicht Versorgungsausgleich unwirksam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Scheidungsverfahren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Scheidung rechtskräftig; Versorgungsausgleich wird durchgeführt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Scheidungsverfahren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Beschwerde Habernau bei RAK Köln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Berufsrecht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Datenschutzbeschwerde Habernau beim LDI NRW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Datenschutz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Klageschrift RAin Dr. Wiesmann beim LG Köln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Zivilklage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Einleitung Rügeverfahren durch RAK Köln (Az. RAK-K 2026-0188)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Berufsrecht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E-Mail Kanzlei an Rotbruch wegen Doppelmandat-Aufklärung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Az. LG Köln 2 O 188/26 zugeteilt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Zivilklage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Eingangsbestätigung LDI NRW (Az. LDI-NRW-2026-0392)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Datenschutz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Zustellung Klageschrift an Dr. Rotbruch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Zivilklage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Anhörungsschreiben RAK Köln an Rotbruch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Berufsrecht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Allianz lehnt Deckung ab (KI-Ausschlussklausel)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Versicherung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 Stellungnahme Rotbruch an RAK Köln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Berufsrecht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LegalTech GmbH bietet AVV an (retroaktiv)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Datenschutz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E-Mail LegalTech GmbH an Kanzlei: AVV-Fragen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Datenschutz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Nachfragebrief RAK Köln (Vorwürfe 2 und 5)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Berufsrecht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Eingang Klageerwiderung beim LG Köln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Zivilklage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E-Mail Klagevertreterin Habernau: Mediationsbereitschaft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Zivilklage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 Abschlussstellungnahme Rotbruch an RAK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Berufsrecht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Gütetermin LG Köln 2 O 188/26 (geplant)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Zivilklage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30.04.2026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Erwartete Entscheidung RAK Köln (Rüge oder Verweisung)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Berufsrecht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LDI NRW-Entscheidung (Datenschutzbeschwerde)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Datenschutz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Anwaltsgerichtliches Verfahren (ggf. nach RAK-Verweisung)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Berufsrecht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Verfahrensstrang-Übersicht (Stand: 15. April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Strang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Nächster Schritt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Zivilklage LG Köln 2 O 188/26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Aktiv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Gütetermin 15.05.2026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Rügeverfahren RAK-K 2026-0188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Aktiv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Entscheidung ca. 30.04.2026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Datenschutz LDI-NRW-2026-0392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Prüfung läuft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Versicherungsdeckung Allianz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Abgelehnt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Deckungsklage geplant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Strafrechtlich § 203 StGB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Verfahren eingeleitet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Beobachtung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Kritischer Pfad</w:t>
      </w:r>
    </w:p>
    <w:p>
      <w:pPr>
        <w:jc w:val="left"/>
      </w:pPr>
      <w:r>
        <w:t>Die zeitkritischsten Punkte bis Ende Mai 2026:</w:t>
      </w:r>
    </w:p>
    <w:p>
      <w:pPr>
        <w:pStyle w:val="ListNumber"/>
      </w:pPr>
      <w:r>
        <w:rPr>
          <w:b/>
        </w:rPr>
        <w:t>15. April 2026</w:t>
      </w:r>
      <w:r>
        <w:t xml:space="preserve"> — Abschlussstellungnahme Rotbruch an RAK Köln (Fristende).</w:t>
      </w:r>
    </w:p>
    <w:p>
      <w:pPr>
        <w:pStyle w:val="ListNumber"/>
      </w:pPr>
      <w:r>
        <w:rPr>
          <w:b/>
        </w:rPr>
        <w:t>Ca. 30. April 2026</w:t>
      </w:r>
      <w:r>
        <w:t xml:space="preserve"> — Entscheidung RAK Köln (Rüge oder Verweis an Anwaltsgericht).</w:t>
      </w:r>
    </w:p>
    <w:p>
      <w:pPr>
        <w:pStyle w:val="ListNumber"/>
      </w:pPr>
      <w:r>
        <w:rPr>
          <w:b/>
        </w:rPr>
        <w:t>15. Mai 2026</w:t>
      </w:r>
      <w:r>
        <w:t xml:space="preserve"> — Gütetermin LG Köln: Vergleichschance oder Streit.</w:t>
      </w:r>
    </w:p>
    <w:p>
      <w:pPr>
        <w:pStyle w:val="ListNumber"/>
      </w:pPr>
      <w:r>
        <w:rPr>
          <w:b/>
        </w:rPr>
        <w:t>Parallel</w:t>
      </w:r>
      <w:r>
        <w:t xml:space="preserve"> — Prüfung Deckungsklage gegen Allianz (Frist: innerhalb von 3 Jahren nach Schadenseintritt, also bis Januar 2029 — kein zeitlicher Druck, aber frühzeitige Klärung sinnvoll).</w:t>
      </w:r>
    </w:p>
    <w:p/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§ 73 BRAO (dejure.org)</w:t>
      </w:r>
    </w:p>
    <w:p>
      <w:pPr>
        <w:pStyle w:val="ListBullet"/>
      </w:pPr>
      <w:r>
        <w:t>§ 278a ZPO (dejure.org)</w:t>
      </w:r>
    </w:p>
    <w:p>
      <w:pPr>
        <w:pStyle w:val="ListBullet"/>
      </w:pPr>
      <w:r>
        <w:t>Art. 77 DSGVO (EUR-Lex)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