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Abschluss und Handlungsempfehlungen für KI in der Kanzlei</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Zusammenfassung des Fallgeschehens</w:t>
      </w:r>
    </w:p>
    <w:p>
      <w:pPr>
        <w:jc w:val="left"/>
      </w:pPr>
      <w:r>
        <w:t>Die Akte Rotbruch/Habernau steht exemplarisch für eine Klasse von Berufsrechts- und Haftungsfällen, die im deutschen Anwaltswesen in den kommenden Jahren zunehmen werden: die unkontrollierte Nutzung von KI-Tools in der anwaltlichen Praxis ohne hinreichende Qualitätssicherung, Mandantenaufklärung und datenschutzrechtliche Absicherung.</w:t>
      </w:r>
    </w:p>
    <w:p>
      <w:pPr>
        <w:jc w:val="left"/>
      </w:pPr>
      <w:r>
        <w:t>Die Kernfehler von Dr. Rotbruch lassen sich auf drei Prinzipien reduzieren:</w:t>
      </w:r>
    </w:p>
    <w:p>
      <w:pPr>
        <w:pStyle w:val="ListNumber"/>
      </w:pPr>
      <w:r>
        <w:rPr>
          <w:b/>
        </w:rPr>
        <w:t>Eigenverantwortlichkeit:</w:t>
      </w:r>
      <w:r>
        <w:t xml:space="preserve"> KI-Tools erzeugen keinen anwaltlichen Rat — sie erzeugen Text. Der anwaltliche Rat entsteht erst durch die eigenverantwortliche Prüfung dieses Textes durch den Anwalt.</w:t>
      </w:r>
    </w:p>
    <w:p>
      <w:pPr>
        <w:pStyle w:val="ListNumber"/>
      </w:pPr>
      <w:r>
        <w:rPr>
          <w:b/>
        </w:rPr>
        <w:t>Transparenz:</w:t>
      </w:r>
      <w:r>
        <w:t xml:space="preserve"> Mandanten müssen wissen, wie ihre Beratungsleistung erbracht wird. Transparenz ist keine freundliche Geste, sondern berufsrechtliche Pflicht.</w:t>
      </w:r>
    </w:p>
    <w:p>
      <w:pPr>
        <w:pStyle w:val="ListNumber"/>
      </w:pPr>
      <w:r>
        <w:rPr>
          <w:b/>
        </w:rPr>
        <w:t>Datenschutz:</w:t>
      </w:r>
      <w:r>
        <w:t xml:space="preserve"> Mandantendaten sind Treugut. Jede Weitergabe an Dritte — auch an Cloud-KI-Anbieter — erfordert eine rechtliche Grundlage (AVV + Verschwiegenheitsverpflichtung).</w:t>
      </w:r>
    </w:p>
    <w:p/>
    <w:p>
      <w:pPr>
        <w:pStyle w:val="Heading2"/>
      </w:pPr>
      <w:r>
        <w:rPr>
          <w:rFonts w:ascii="Times New Roman" w:hAnsi="Times New Roman"/>
        </w:rPr>
        <w:t>2. Handlungsempfehlungen für die Kanzlei Rotbruch (sofort)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Frist</w:t>
            </w:r>
          </w:p>
        </w:tc>
        <w:tc>
          <w:tcPr>
            <w:tcW w:type="dxa" w:w="3024"/>
          </w:tcPr>
          <w:p>
            <w:r>
              <w:rPr>
                <w:rFonts w:ascii="Times New Roman" w:hAnsi="Times New Roman"/>
                <w:b/>
                <w:sz w:val="20"/>
              </w:rPr>
              <w:t>Verantwortlich</w:t>
            </w:r>
          </w:p>
        </w:tc>
      </w:tr>
      <w:tr>
        <w:tc>
          <w:tcPr>
            <w:tcW w:type="dxa" w:w="3024"/>
          </w:tcPr>
          <w:p>
            <w:r>
              <w:rPr>
                <w:rFonts w:ascii="Times New Roman" w:hAnsi="Times New Roman"/>
                <w:sz w:val="20"/>
              </w:rPr>
              <w:t>KI-Einsatzrichtlinie einführen (s. Anlage DOCX)</w:t>
            </w:r>
          </w:p>
        </w:tc>
        <w:tc>
          <w:tcPr>
            <w:tcW w:type="dxa" w:w="3024"/>
          </w:tcPr>
          <w:p>
            <w:r>
              <w:rPr>
                <w:rFonts w:ascii="Times New Roman" w:hAnsi="Times New Roman"/>
                <w:sz w:val="20"/>
              </w:rPr>
              <w:t>Sofort</w:t>
            </w:r>
          </w:p>
        </w:tc>
        <w:tc>
          <w:tcPr>
            <w:tcW w:type="dxa" w:w="3024"/>
          </w:tcPr>
          <w:p>
            <w:r>
              <w:rPr>
                <w:rFonts w:ascii="Times New Roman" w:hAnsi="Times New Roman"/>
                <w:sz w:val="20"/>
              </w:rPr>
              <w:t>Dr. Rotbruch</w:t>
            </w:r>
          </w:p>
        </w:tc>
      </w:tr>
      <w:tr>
        <w:tc>
          <w:tcPr>
            <w:tcW w:type="dxa" w:w="3024"/>
          </w:tcPr>
          <w:p>
            <w:r>
              <w:rPr>
                <w:rFonts w:ascii="Times New Roman" w:hAnsi="Times New Roman"/>
                <w:sz w:val="20"/>
              </w:rPr>
              <w:t>AVV mit LegalTech GmbH abschließen</w:t>
            </w:r>
          </w:p>
        </w:tc>
        <w:tc>
          <w:tcPr>
            <w:tcW w:type="dxa" w:w="3024"/>
          </w:tcPr>
          <w:p>
            <w:r>
              <w:rPr>
                <w:rFonts w:ascii="Times New Roman" w:hAnsi="Times New Roman"/>
                <w:sz w:val="20"/>
              </w:rPr>
              <w:t>Sofort</w:t>
            </w:r>
          </w:p>
        </w:tc>
        <w:tc>
          <w:tcPr>
            <w:tcW w:type="dxa" w:w="3024"/>
          </w:tcPr>
          <w:p>
            <w:r>
              <w:rPr>
                <w:rFonts w:ascii="Times New Roman" w:hAnsi="Times New Roman"/>
                <w:sz w:val="20"/>
              </w:rPr>
              <w:t>Dr. Rotbruch</w:t>
            </w:r>
          </w:p>
        </w:tc>
      </w:tr>
      <w:tr>
        <w:tc>
          <w:tcPr>
            <w:tcW w:type="dxa" w:w="3024"/>
          </w:tcPr>
          <w:p>
            <w:r>
              <w:rPr>
                <w:rFonts w:ascii="Times New Roman" w:hAnsi="Times New Roman"/>
                <w:sz w:val="20"/>
              </w:rPr>
              <w:t>Verschwiegenheitsverpflichtung LegalTech GmbH</w:t>
            </w:r>
          </w:p>
        </w:tc>
        <w:tc>
          <w:tcPr>
            <w:tcW w:type="dxa" w:w="3024"/>
          </w:tcPr>
          <w:p>
            <w:r>
              <w:rPr>
                <w:rFonts w:ascii="Times New Roman" w:hAnsi="Times New Roman"/>
                <w:sz w:val="20"/>
              </w:rPr>
              <w:t>Sofort</w:t>
            </w:r>
          </w:p>
        </w:tc>
        <w:tc>
          <w:tcPr>
            <w:tcW w:type="dxa" w:w="3024"/>
          </w:tcPr>
          <w:p>
            <w:r>
              <w:rPr>
                <w:rFonts w:ascii="Times New Roman" w:hAnsi="Times New Roman"/>
                <w:sz w:val="20"/>
              </w:rPr>
              <w:t>Dr. Rotbruch</w:t>
            </w:r>
          </w:p>
        </w:tc>
      </w:tr>
      <w:tr>
        <w:tc>
          <w:tcPr>
            <w:tcW w:type="dxa" w:w="3024"/>
          </w:tcPr>
          <w:p>
            <w:r>
              <w:rPr>
                <w:rFonts w:ascii="Times New Roman" w:hAnsi="Times New Roman"/>
                <w:sz w:val="20"/>
              </w:rPr>
              <w:t>Alle KI-bezogenen Vorgänge 2021–2026 prüfen</w:t>
            </w:r>
          </w:p>
        </w:tc>
        <w:tc>
          <w:tcPr>
            <w:tcW w:type="dxa" w:w="3024"/>
          </w:tcPr>
          <w:p>
            <w:r>
              <w:rPr>
                <w:rFonts w:ascii="Times New Roman" w:hAnsi="Times New Roman"/>
                <w:sz w:val="20"/>
              </w:rPr>
              <w:t>4 Wochen</w:t>
            </w:r>
          </w:p>
        </w:tc>
        <w:tc>
          <w:tcPr>
            <w:tcW w:type="dxa" w:w="3024"/>
          </w:tcPr>
          <w:p>
            <w:r>
              <w:rPr>
                <w:rFonts w:ascii="Times New Roman" w:hAnsi="Times New Roman"/>
                <w:sz w:val="20"/>
              </w:rPr>
              <w:t>Dr. Rotbruch</w:t>
            </w:r>
          </w:p>
        </w:tc>
      </w:tr>
      <w:tr>
        <w:tc>
          <w:tcPr>
            <w:tcW w:type="dxa" w:w="3024"/>
          </w:tcPr>
          <w:p>
            <w:r>
              <w:rPr>
                <w:rFonts w:ascii="Times New Roman" w:hAnsi="Times New Roman"/>
                <w:sz w:val="20"/>
              </w:rPr>
              <w:t>RAK Köln über Verbesserungsmaßnahmen informieren</w:t>
            </w:r>
          </w:p>
        </w:tc>
        <w:tc>
          <w:tcPr>
            <w:tcW w:type="dxa" w:w="3024"/>
          </w:tcPr>
          <w:p>
            <w:r>
              <w:rPr>
                <w:rFonts w:ascii="Times New Roman" w:hAnsi="Times New Roman"/>
                <w:sz w:val="20"/>
              </w:rPr>
              <w:t>Vor 30.04.2026</w:t>
            </w:r>
          </w:p>
        </w:tc>
        <w:tc>
          <w:tcPr>
            <w:tcW w:type="dxa" w:w="3024"/>
          </w:tcPr>
          <w:p>
            <w:r>
              <w:rPr>
                <w:rFonts w:ascii="Times New Roman" w:hAnsi="Times New Roman"/>
                <w:sz w:val="20"/>
              </w:rPr>
              <w:t>Dr. Rotbruch / Verteidiger</w:t>
            </w:r>
          </w:p>
        </w:tc>
      </w:tr>
      <w:tr>
        <w:tc>
          <w:tcPr>
            <w:tcW w:type="dxa" w:w="3024"/>
          </w:tcPr>
          <w:p>
            <w:r>
              <w:rPr>
                <w:rFonts w:ascii="Times New Roman" w:hAnsi="Times New Roman"/>
                <w:sz w:val="20"/>
              </w:rPr>
              <w:t>Fortbildung Legal-Tech und DSGVO absolvieren</w:t>
            </w:r>
          </w:p>
        </w:tc>
        <w:tc>
          <w:tcPr>
            <w:tcW w:type="dxa" w:w="3024"/>
          </w:tcPr>
          <w:p>
            <w:r>
              <w:rPr>
                <w:rFonts w:ascii="Times New Roman" w:hAnsi="Times New Roman"/>
                <w:sz w:val="20"/>
              </w:rPr>
              <w:t>3 Monate</w:t>
            </w:r>
          </w:p>
        </w:tc>
        <w:tc>
          <w:tcPr>
            <w:tcW w:type="dxa" w:w="3024"/>
          </w:tcPr>
          <w:p>
            <w:r>
              <w:rPr>
                <w:rFonts w:ascii="Times New Roman" w:hAnsi="Times New Roman"/>
                <w:sz w:val="20"/>
              </w:rPr>
              <w:t>Dr. Rotbruch</w:t>
            </w:r>
          </w:p>
        </w:tc>
      </w:tr>
      <w:tr>
        <w:tc>
          <w:tcPr>
            <w:tcW w:type="dxa" w:w="3024"/>
          </w:tcPr>
          <w:p>
            <w:r>
              <w:rPr>
                <w:rFonts w:ascii="Times New Roman" w:hAnsi="Times New Roman"/>
                <w:sz w:val="20"/>
              </w:rPr>
              <w:t>Deckungsklage Allianz prüfen</w:t>
            </w:r>
          </w:p>
        </w:tc>
        <w:tc>
          <w:tcPr>
            <w:tcW w:type="dxa" w:w="3024"/>
          </w:tcPr>
          <w:p>
            <w:r>
              <w:rPr>
                <w:rFonts w:ascii="Times New Roman" w:hAnsi="Times New Roman"/>
                <w:sz w:val="20"/>
              </w:rPr>
              <w:t>6 Wochen</w:t>
            </w:r>
          </w:p>
        </w:tc>
        <w:tc>
          <w:tcPr>
            <w:tcW w:type="dxa" w:w="3024"/>
          </w:tcPr>
          <w:p>
            <w:r>
              <w:rPr>
                <w:rFonts w:ascii="Times New Roman" w:hAnsi="Times New Roman"/>
                <w:sz w:val="20"/>
              </w:rPr>
              <w:t>RA Dr. Hartmann</w:t>
            </w:r>
          </w:p>
        </w:tc>
      </w:tr>
      <w:tr>
        <w:tc>
          <w:tcPr>
            <w:tcW w:type="dxa" w:w="3024"/>
          </w:tcPr>
          <w:p>
            <w:r>
              <w:rPr>
                <w:rFonts w:ascii="Times New Roman" w:hAnsi="Times New Roman"/>
                <w:sz w:val="20"/>
              </w:rPr>
              <w:t>Mandatsübernahme-Checkliste für KI-Mandate einführen</w:t>
            </w:r>
          </w:p>
        </w:tc>
        <w:tc>
          <w:tcPr>
            <w:tcW w:type="dxa" w:w="3024"/>
          </w:tcPr>
          <w:p>
            <w:r>
              <w:rPr>
                <w:rFonts w:ascii="Times New Roman" w:hAnsi="Times New Roman"/>
                <w:sz w:val="20"/>
              </w:rPr>
              <w:t>4 Wochen</w:t>
            </w:r>
          </w:p>
        </w:tc>
        <w:tc>
          <w:tcPr>
            <w:tcW w:type="dxa" w:w="3024"/>
          </w:tcPr>
          <w:p>
            <w:r>
              <w:rPr>
                <w:rFonts w:ascii="Times New Roman" w:hAnsi="Times New Roman"/>
                <w:sz w:val="20"/>
              </w:rPr>
              <w:t>Kanzlei</w:t>
            </w:r>
          </w:p>
        </w:tc>
      </w:tr>
    </w:tbl>
    <w:p/>
    <w:p>
      <w:pPr>
        <w:pStyle w:val="Heading2"/>
      </w:pPr>
      <w:r>
        <w:rPr>
          <w:rFonts w:ascii="Times New Roman" w:hAnsi="Times New Roman"/>
        </w:rPr>
        <w:t>3. Handlungsempfehlungen für die Branche</w:t>
      </w:r>
    </w:p>
    <w:p>
      <w:pPr>
        <w:jc w:val="left"/>
      </w:pPr>
      <w:r>
        <w:t>Der Fall Rotbruch ist kein Einzelfall — er ist symptomatisch. Folgende strukturelle Empfehlungen richten sich an die Anwaltschaft insgesamt:</w:t>
      </w:r>
    </w:p>
    <w:p>
      <w:pPr>
        <w:pStyle w:val="Heading3"/>
      </w:pPr>
      <w:r>
        <w:rPr>
          <w:rFonts w:ascii="Times New Roman" w:hAnsi="Times New Roman"/>
        </w:rPr>
        <w:t>3.1 BRAO/BORA-Reform</w:t>
      </w:r>
    </w:p>
    <w:p>
      <w:pPr>
        <w:jc w:val="left"/>
      </w:pPr>
      <w:r>
        <w:t>Die Bundesrechtsanwaltskammer sollte in die BORA eine spezifische Regelung für den KI-Einsatz aufnehmen, die mindestens enthält:</w:t>
      </w:r>
    </w:p>
    <w:p>
      <w:pPr>
        <w:pStyle w:val="ListBullet"/>
      </w:pPr>
      <w:r>
        <w:t>Validierungspflicht vor Weiterleitung von KI-Outputs,</w:t>
      </w:r>
    </w:p>
    <w:p>
      <w:pPr>
        <w:pStyle w:val="ListBullet"/>
      </w:pPr>
      <w:r>
        <w:t>Informationspflicht gegenüber Mandanten bei KI-Einsatz,</w:t>
      </w:r>
    </w:p>
    <w:p>
      <w:pPr>
        <w:pStyle w:val="ListBullet"/>
      </w:pPr>
      <w:r>
        <w:t>Dokumentationspflicht (Erweiterung des § 50 BRAO),</w:t>
      </w:r>
    </w:p>
    <w:p>
      <w:pPr>
        <w:pStyle w:val="ListBullet"/>
      </w:pPr>
      <w:r>
        <w:t>Datenschutzpflicht (AVV als Mindeststandard).</w:t>
      </w:r>
    </w:p>
    <w:p>
      <w:pPr>
        <w:pStyle w:val="Heading3"/>
      </w:pPr>
      <w:r>
        <w:rPr>
          <w:rFonts w:ascii="Times New Roman" w:hAnsi="Times New Roman"/>
        </w:rPr>
        <w:t>3.2 Versicherungswirtschaft</w:t>
      </w:r>
    </w:p>
    <w:p>
      <w:pPr>
        <w:jc w:val="left"/>
      </w:pPr>
      <w:r>
        <w:t>Die Berufshaftpflichtversicherer sollten KI-Ausschlussklauseln standardisieren und Lösungen entwickeln, die KI-gestützte Beratung unter definierten Bedingungen (z.B. Nachweis eines AVV, Nutzung einer validierten Qualitätssicherungsroutine) versicherbar machen.</w:t>
      </w:r>
    </w:p>
    <w:p>
      <w:pPr>
        <w:pStyle w:val="Heading3"/>
      </w:pPr>
      <w:r>
        <w:rPr>
          <w:rFonts w:ascii="Times New Roman" w:hAnsi="Times New Roman"/>
        </w:rPr>
        <w:t>3.3 KI-Anbieter</w:t>
      </w:r>
    </w:p>
    <w:p>
      <w:pPr>
        <w:jc w:val="left"/>
      </w:pPr>
      <w:r>
        <w:t>Legal-KI-Anbieter sollten:</w:t>
      </w:r>
    </w:p>
    <w:p>
      <w:pPr>
        <w:pStyle w:val="ListBullet"/>
      </w:pPr>
      <w:r>
        <w:t>standardmäßig AVV-Prozesse in das Onboarding integrieren,</w:t>
      </w:r>
    </w:p>
    <w:p>
      <w:pPr>
        <w:pStyle w:val="ListBullet"/>
      </w:pPr>
      <w:r>
        <w:t>Warnhinweise technisch unentfernbar gestalten,</w:t>
      </w:r>
    </w:p>
    <w:p>
      <w:pPr>
        <w:pStyle w:val="ListBullet"/>
      </w:pPr>
      <w:r>
        <w:t>Logging-Funktionen bereitstellen, die im Streitfall die tatsächliche Nutzung nachvollziehbar machen,</w:t>
      </w:r>
    </w:p>
    <w:p>
      <w:pPr>
        <w:pStyle w:val="ListBullet"/>
      </w:pPr>
      <w:r>
        <w:t>ab August 2026 KI-VO-Konformitätsnachweise bereitstellen.</w:t>
      </w:r>
    </w:p>
    <w:p>
      <w:pPr>
        <w:pStyle w:val="Heading3"/>
      </w:pPr>
      <w:r>
        <w:rPr>
          <w:rFonts w:ascii="Times New Roman" w:hAnsi="Times New Roman"/>
        </w:rPr>
        <w:t>3.4 Kammern</w:t>
      </w:r>
    </w:p>
    <w:p>
      <w:pPr>
        <w:jc w:val="left"/>
      </w:pPr>
      <w:r>
        <w:t>Die Rechtsanwaltskammern sollten:</w:t>
      </w:r>
    </w:p>
    <w:p>
      <w:pPr>
        <w:pStyle w:val="ListBullet"/>
      </w:pPr>
      <w:r>
        <w:t>Fortbildungsangebote zu Legal-Tech und Berufsrecht entwickeln,</w:t>
      </w:r>
    </w:p>
    <w:p>
      <w:pPr>
        <w:pStyle w:val="ListBullet"/>
      </w:pPr>
      <w:r>
        <w:t>Muster-AGB und Muster-Mandatsbeschreibungen für KI-Mandate bereitstellen,</w:t>
      </w:r>
    </w:p>
    <w:p>
      <w:pPr>
        <w:pStyle w:val="ListBullet"/>
      </w:pPr>
      <w:r>
        <w:t>Rügeverfahren im KI-Bereich als Lernchance kommunizieren (z.B. durch anonymisierte Fallberichte).</w:t>
      </w:r>
    </w:p>
    <w:p/>
    <w:p>
      <w:pPr>
        <w:pStyle w:val="Heading2"/>
      </w:pPr>
      <w:r>
        <w:rPr>
          <w:rFonts w:ascii="Times New Roman" w:hAnsi="Times New Roman"/>
        </w:rPr>
        <w:t>4. Fazit</w:t>
      </w:r>
    </w:p>
    <w:p>
      <w:pPr>
        <w:jc w:val="left"/>
      </w:pPr>
      <w:r>
        <w:t>Der Fall Rotbruch/Habernau zeigt, dass KI-Tools im Anwaltsbetrieb beachtliche Effizienzgewinne bringen können, aber ebenso beachtliche Risiken tragen, wenn sie unkritisch eingesetzt werden. Der Schaden von 187.000 EUR, das laufende Berufsrechtsverfahren und der Verlust des Versicherungsschutzes übersteigen den Nutzen des Abonnements von 89 EUR/Monat um ein Vielfaches.</w:t>
      </w:r>
    </w:p>
    <w:p>
      <w:pPr>
        <w:jc w:val="left"/>
      </w:pPr>
      <w:r>
        <w:t xml:space="preserve">Die Botschaft ist einfach: </w:t>
      </w:r>
      <w:r>
        <w:rPr>
          <w:b/>
        </w:rPr>
        <w:t>KI ist ein Werkzeug, kein Anwalt.</w:t>
      </w:r>
      <w:r>
        <w:t xml:space="preserve"> Wer sie als Anwalt einsetzt, bleibt verantwortlich — für den Output, für die Daten, für die Qualität.</w:t>
      </w:r>
    </w:p>
    <w:p/>
    <w:p>
      <w:pPr>
        <w:pStyle w:val="Heading2"/>
      </w:pPr>
      <w:r>
        <w:rPr>
          <w:rFonts w:ascii="Times New Roman" w:hAnsi="Times New Roman"/>
        </w:rPr>
        <w:t xml:space="preserve">5. Demonstrierte Fähigkeiten des Plugins </w:t>
      </w:r>
      <w:r>
        <w:rPr>
          <w:rFonts w:ascii="Times New Roman" w:hAnsi="Times New Roman"/>
        </w:rPr>
        <w:t>berufsrecht-ki-vertragspruefung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Kompetenz</w:t>
            </w:r>
          </w:p>
        </w:tc>
        <w:tc>
          <w:tcPr>
            <w:tcW w:type="dxa" w:w="4536"/>
          </w:tcPr>
          <w:p>
            <w:r>
              <w:rPr>
                <w:rFonts w:ascii="Times New Roman" w:hAnsi="Times New Roman"/>
                <w:b/>
                <w:sz w:val="20"/>
              </w:rPr>
              <w:t>Aktenstück</w:t>
            </w:r>
          </w:p>
        </w:tc>
      </w:tr>
      <w:tr>
        <w:tc>
          <w:tcPr>
            <w:tcW w:type="dxa" w:w="4536"/>
          </w:tcPr>
          <w:p>
            <w:r>
              <w:rPr>
                <w:rFonts w:ascii="Times New Roman" w:hAnsi="Times New Roman"/>
                <w:sz w:val="20"/>
              </w:rPr>
              <w:t>Anwaltliche Haftung bei KI-Einsatz</w:t>
            </w:r>
          </w:p>
        </w:tc>
        <w:tc>
          <w:tcPr>
            <w:tcW w:type="dxa" w:w="4536"/>
          </w:tcPr>
          <w:p>
            <w:r>
              <w:rPr>
                <w:rFonts w:ascii="Times New Roman" w:hAnsi="Times New Roman"/>
                <w:sz w:val="20"/>
              </w:rPr>
              <w:t>03, 04, 17</w:t>
            </w:r>
          </w:p>
        </w:tc>
      </w:tr>
      <w:tr>
        <w:tc>
          <w:tcPr>
            <w:tcW w:type="dxa" w:w="4536"/>
          </w:tcPr>
          <w:p>
            <w:r>
              <w:rPr>
                <w:rFonts w:ascii="Times New Roman" w:hAnsi="Times New Roman"/>
                <w:sz w:val="20"/>
              </w:rPr>
              <w:t>Berufsrechtliches Rügeverfahren</w:t>
            </w:r>
          </w:p>
        </w:tc>
        <w:tc>
          <w:tcPr>
            <w:tcW w:type="dxa" w:w="4536"/>
          </w:tcPr>
          <w:p>
            <w:r>
              <w:rPr>
                <w:rFonts w:ascii="Times New Roman" w:hAnsi="Times New Roman"/>
                <w:sz w:val="20"/>
              </w:rPr>
              <w:t>08, 09</w:t>
            </w:r>
          </w:p>
        </w:tc>
      </w:tr>
      <w:tr>
        <w:tc>
          <w:tcPr>
            <w:tcW w:type="dxa" w:w="4536"/>
          </w:tcPr>
          <w:p>
            <w:r>
              <w:rPr>
                <w:rFonts w:ascii="Times New Roman" w:hAnsi="Times New Roman"/>
                <w:sz w:val="20"/>
              </w:rPr>
              <w:t>Mandantenaufklärung und AGB-Recht</w:t>
            </w:r>
          </w:p>
        </w:tc>
        <w:tc>
          <w:tcPr>
            <w:tcW w:type="dxa" w:w="4536"/>
          </w:tcPr>
          <w:p>
            <w:r>
              <w:rPr>
                <w:rFonts w:ascii="Times New Roman" w:hAnsi="Times New Roman"/>
                <w:sz w:val="20"/>
              </w:rPr>
              <w:t>05, 11</w:t>
            </w:r>
          </w:p>
        </w:tc>
      </w:tr>
      <w:tr>
        <w:tc>
          <w:tcPr>
            <w:tcW w:type="dxa" w:w="4536"/>
          </w:tcPr>
          <w:p>
            <w:r>
              <w:rPr>
                <w:rFonts w:ascii="Times New Roman" w:hAnsi="Times New Roman"/>
                <w:sz w:val="20"/>
              </w:rPr>
              <w:t>DSGVO und AVV im Kanzleibetrieb</w:t>
            </w:r>
          </w:p>
        </w:tc>
        <w:tc>
          <w:tcPr>
            <w:tcW w:type="dxa" w:w="4536"/>
          </w:tcPr>
          <w:p>
            <w:r>
              <w:rPr>
                <w:rFonts w:ascii="Times New Roman" w:hAnsi="Times New Roman"/>
                <w:sz w:val="20"/>
              </w:rPr>
              <w:t>06</w:t>
            </w:r>
          </w:p>
        </w:tc>
      </w:tr>
      <w:tr>
        <w:tc>
          <w:tcPr>
            <w:tcW w:type="dxa" w:w="4536"/>
          </w:tcPr>
          <w:p>
            <w:r>
              <w:rPr>
                <w:rFonts w:ascii="Times New Roman" w:hAnsi="Times New Roman"/>
                <w:sz w:val="20"/>
              </w:rPr>
              <w:t>Geheimnisschutz § 203 StGB</w:t>
            </w:r>
          </w:p>
        </w:tc>
        <w:tc>
          <w:tcPr>
            <w:tcW w:type="dxa" w:w="4536"/>
          </w:tcPr>
          <w:p>
            <w:r>
              <w:rPr>
                <w:rFonts w:ascii="Times New Roman" w:hAnsi="Times New Roman"/>
                <w:sz w:val="20"/>
              </w:rPr>
              <w:t>07</w:t>
            </w:r>
          </w:p>
        </w:tc>
      </w:tr>
      <w:tr>
        <w:tc>
          <w:tcPr>
            <w:tcW w:type="dxa" w:w="4536"/>
          </w:tcPr>
          <w:p>
            <w:r>
              <w:rPr>
                <w:rFonts w:ascii="Times New Roman" w:hAnsi="Times New Roman"/>
                <w:sz w:val="20"/>
              </w:rPr>
              <w:t>Ehevertragskontrolle und BGH-Rechtsprechung</w:t>
            </w:r>
          </w:p>
        </w:tc>
        <w:tc>
          <w:tcPr>
            <w:tcW w:type="dxa" w:w="4536"/>
          </w:tcPr>
          <w:p>
            <w:r>
              <w:rPr>
                <w:rFonts w:ascii="Times New Roman" w:hAnsi="Times New Roman"/>
                <w:sz w:val="20"/>
              </w:rPr>
              <w:t>16</w:t>
            </w:r>
          </w:p>
        </w:tc>
      </w:tr>
      <w:tr>
        <w:tc>
          <w:tcPr>
            <w:tcW w:type="dxa" w:w="4536"/>
          </w:tcPr>
          <w:p>
            <w:r>
              <w:rPr>
                <w:rFonts w:ascii="Times New Roman" w:hAnsi="Times New Roman"/>
                <w:sz w:val="20"/>
              </w:rPr>
              <w:t>EU AI Act (KI-VO) im Rechtsbereich</w:t>
            </w:r>
          </w:p>
        </w:tc>
        <w:tc>
          <w:tcPr>
            <w:tcW w:type="dxa" w:w="4536"/>
          </w:tcPr>
          <w:p>
            <w:r>
              <w:rPr>
                <w:rFonts w:ascii="Times New Roman" w:hAnsi="Times New Roman"/>
                <w:sz w:val="20"/>
              </w:rPr>
              <w:t>12</w:t>
            </w:r>
          </w:p>
        </w:tc>
      </w:tr>
      <w:tr>
        <w:tc>
          <w:tcPr>
            <w:tcW w:type="dxa" w:w="4536"/>
          </w:tcPr>
          <w:p>
            <w:r>
              <w:rPr>
                <w:rFonts w:ascii="Times New Roman" w:hAnsi="Times New Roman"/>
                <w:sz w:val="20"/>
              </w:rPr>
              <w:t>Berufshaftpflicht und KI-Ausschluss</w:t>
            </w:r>
          </w:p>
        </w:tc>
        <w:tc>
          <w:tcPr>
            <w:tcW w:type="dxa" w:w="4536"/>
          </w:tcPr>
          <w:p>
            <w:r>
              <w:rPr>
                <w:rFonts w:ascii="Times New Roman" w:hAnsi="Times New Roman"/>
                <w:sz w:val="20"/>
              </w:rPr>
              <w:t>10</w:t>
            </w:r>
          </w:p>
        </w:tc>
      </w:tr>
      <w:tr>
        <w:tc>
          <w:tcPr>
            <w:tcW w:type="dxa" w:w="4536"/>
          </w:tcPr>
          <w:p>
            <w:r>
              <w:rPr>
                <w:rFonts w:ascii="Times New Roman" w:hAnsi="Times New Roman"/>
                <w:sz w:val="20"/>
              </w:rPr>
              <w:t>Kanzleiorganisation und Dokumentation</w:t>
            </w:r>
          </w:p>
        </w:tc>
        <w:tc>
          <w:tcPr>
            <w:tcW w:type="dxa" w:w="4536"/>
          </w:tcPr>
          <w:p>
            <w:r>
              <w:rPr>
                <w:rFonts w:ascii="Times New Roman" w:hAnsi="Times New Roman"/>
                <w:sz w:val="20"/>
              </w:rPr>
              <w:t>13, 15</w:t>
            </w:r>
          </w:p>
        </w:tc>
      </w:tr>
      <w:tr>
        <w:tc>
          <w:tcPr>
            <w:tcW w:type="dxa" w:w="4536"/>
          </w:tcPr>
          <w:p>
            <w:r>
              <w:rPr>
                <w:rFonts w:ascii="Times New Roman" w:hAnsi="Times New Roman"/>
                <w:sz w:val="20"/>
              </w:rPr>
              <w:t>Schadensberechnung und Quotelung</w:t>
            </w:r>
          </w:p>
        </w:tc>
        <w:tc>
          <w:tcPr>
            <w:tcW w:type="dxa" w:w="4536"/>
          </w:tcPr>
          <w:p>
            <w:r>
              <w:rPr>
                <w:rFonts w:ascii="Times New Roman" w:hAnsi="Times New Roman"/>
                <w:sz w:val="20"/>
              </w:rPr>
              <w:t>18, 19</w:t>
            </w:r>
          </w:p>
        </w:tc>
      </w:tr>
      <w:tr>
        <w:tc>
          <w:tcPr>
            <w:tcW w:type="dxa" w:w="4536"/>
          </w:tcPr>
          <w:p>
            <w:r>
              <w:rPr>
                <w:rFonts w:ascii="Times New Roman" w:hAnsi="Times New Roman"/>
                <w:sz w:val="20"/>
              </w:rPr>
              <w:t>Vergleichsstrategie</w:t>
            </w:r>
          </w:p>
        </w:tc>
        <w:tc>
          <w:tcPr>
            <w:tcW w:type="dxa" w:w="4536"/>
          </w:tcPr>
          <w:p>
            <w:r>
              <w:rPr>
                <w:rFonts w:ascii="Times New Roman" w:hAnsi="Times New Roman"/>
                <w:sz w:val="20"/>
              </w:rPr>
              <w:t>20</w:t>
            </w:r>
          </w:p>
        </w:tc>
      </w:tr>
      <w:tr>
        <w:tc>
          <w:tcPr>
            <w:tcW w:type="dxa" w:w="4536"/>
          </w:tcPr>
          <w:p>
            <w:r>
              <w:rPr>
                <w:rFonts w:ascii="Times New Roman" w:hAnsi="Times New Roman"/>
                <w:sz w:val="20"/>
              </w:rPr>
              <w:t>Geschäftsgeheimnis und GeschGehG</w:t>
            </w:r>
          </w:p>
        </w:tc>
        <w:tc>
          <w:tcPr>
            <w:tcW w:type="dxa" w:w="4536"/>
          </w:tcPr>
          <w:p>
            <w:r>
              <w:rPr>
                <w:rFonts w:ascii="Times New Roman" w:hAnsi="Times New Roman"/>
                <w:sz w:val="20"/>
              </w:rPr>
              <w:t>14</w:t>
            </w:r>
          </w:p>
        </w:tc>
      </w:tr>
      <w:tr>
        <w:tc>
          <w:tcPr>
            <w:tcW w:type="dxa" w:w="4536"/>
          </w:tcPr>
          <w:p>
            <w:r>
              <w:rPr>
                <w:rFonts w:ascii="Times New Roman" w:hAnsi="Times New Roman"/>
                <w:sz w:val="20"/>
              </w:rPr>
              <w:t>Gesamtchronologie</w:t>
            </w:r>
          </w:p>
        </w:tc>
        <w:tc>
          <w:tcPr>
            <w:tcW w:type="dxa" w:w="4536"/>
          </w:tcPr>
          <w:p>
            <w:r>
              <w:rPr>
                <w:rFonts w:ascii="Times New Roman" w:hAnsi="Times New Roman"/>
                <w:sz w:val="20"/>
              </w:rPr>
              <w:t>21</w:t>
            </w:r>
          </w:p>
        </w:tc>
      </w:tr>
    </w:tbl>
    <w:p/>
    <w:p>
      <w:pPr>
        <w:jc w:val="left"/>
      </w:pPr>
      <w:r>
        <w:rPr>
          <w:b/>
        </w:rPr>
        <w:t>Quellen:</w:t>
      </w:r>
    </w:p>
    <w:p>
      <w:pPr>
        <w:pStyle w:val="ListBullet"/>
      </w:pPr>
      <w:r>
        <w:t>§ 43a BRAO (dejure.org)</w:t>
      </w:r>
    </w:p>
    <w:p>
      <w:pPr>
        <w:pStyle w:val="ListBullet"/>
      </w:pPr>
      <w:r>
        <w:t>§ 50 BRAO (dejure.org)</w:t>
      </w:r>
    </w:p>
    <w:p>
      <w:pPr>
        <w:pStyle w:val="ListBullet"/>
      </w:pPr>
      <w:r>
        <w:t>Art. 28 DSGVO (EUR-Lex)</w:t>
      </w:r>
    </w:p>
    <w:p>
      <w:pPr>
        <w:pStyle w:val="ListBullet"/>
      </w:pPr>
      <w:r>
        <w:t>Verordnung (EU) 2024/1689 (KI-VO) (EUR-Lex)</w:t>
      </w:r>
    </w:p>
    <w:p>
      <w:pPr>
        <w:pStyle w:val="ListBullet"/>
      </w:pPr>
      <w:r>
        <w:t>BRAK-Stellungnahme 16/2023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