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Gutachtenstand</w:t>
      </w:r>
    </w:p>
    <w:p>
      <w:pPr>
        <w:pStyle w:val="Heading2"/>
      </w:pPr>
      <w:r>
        <w:rPr>
          <w:rFonts w:ascii="Times New Roman" w:hAnsi="Times New Roman"/>
        </w:rPr>
        <w:t>Beteiligte</w:t>
      </w:r>
    </w:p>
    <w:p>
      <w:pPr>
        <w:jc w:val="left"/>
      </w:pPr>
      <w:r>
        <w:t>Apotheke Kornblume, substituierender Arzt, Festivalveranstalter, Patientin, Gesundheitsamt und Polizei.</w:t>
      </w:r>
    </w:p>
    <w:p>
      <w:pPr>
        <w:pStyle w:val="Heading2"/>
      </w:pPr>
      <w:r>
        <w:rPr>
          <w:rFonts w:ascii="Times New Roman" w:hAnsi="Times New Roman"/>
        </w:rPr>
        <w:t>Ausgeschriebener Aktenstand</w:t>
      </w:r>
    </w:p>
    <w:p>
      <w:pPr>
        <w:jc w:val="left"/>
      </w:pPr>
      <w:r>
        <w:t>BtM-Abgabe, Substitutionsdokumentation, Verlustmeldung und Festival-Sicherheitskonzept überschneiden sich in einer heiklen Woche. Die Unterlagen sind nicht sauber sortiert. Es gibt Originaldokumente, spätere Zusammenfassungen, Telefonnotizen und einzelne Behauptungen, die erst noch belegt werden müssen. Die Bearbeitung darf deshalb nicht bei einer Kurzthese stehen bleiben. Sie muss aus jedem Aktenstück herausarbeiten, welche Tatsache wirklich belegt ist und welche rechtliche Folge daran hängt.</w:t>
      </w:r>
    </w:p>
    <w:p>
      <w:pPr>
        <w:pStyle w:val="Heading2"/>
      </w:pPr>
      <w:r>
        <w:rPr>
          <w:rFonts w:ascii="Times New Roman" w:hAnsi="Times New Roman"/>
        </w:rPr>
        <w:t>Rechtlicher Rahmen</w:t>
      </w:r>
    </w:p>
    <w:p>
      <w:pPr>
        <w:jc w:val="left"/>
      </w:pPr>
      <w:r>
        <w:t>BtMG, BtMVV, Apothekenrecht, ärztliche Dokumentationspflichten, Gefahrenabwehr und OWi-/Strafrisiken. Der Rechtsrahmen dient nicht als Schmuckliste, sondern als Sortierwerkzeug: Zuständigkeit, Frist, Anhörung, Beweiswert, Ermessen, Verhältnismäßigkeit, Kostenfolge und mögliche Rechtsbehelfe werden jeweils getrennt geprüft.</w:t>
      </w:r>
    </w:p>
    <w:p>
      <w:pPr>
        <w:pStyle w:val="Heading2"/>
      </w:pPr>
      <w:r>
        <w:rPr>
          <w:rFonts w:ascii="Times New Roman" w:hAnsi="Times New Roman"/>
        </w:rPr>
        <w:t>Vollständiger Prüfstand</w:t>
      </w:r>
    </w:p>
    <w:p>
      <w:pPr>
        <w:jc w:val="left"/>
      </w:pPr>
      <w:r>
        <w:t>Erstens ist zu klären, ob der Vorwurf oder Anspruch überhaupt den richtigen Adressaten trifft. Zweitens muss festgestellt werden, ob die behauptete Handlung tatsächlich in der dokumentierten Form stattgefunden hat. Drittens ist zu trennen zwischen rechtlicher Pflichtverletzung, bloßem Organisationsmangel und nachträglich heilbarem Dokumentationsdefizit. Viertens braucht die nächste Erklärung eine klare Tatsachengrundlage, damit keine unnötigen Zugeständnisse oder widersprüchlichen Darstellungen entstehen.</w:t>
      </w:r>
    </w:p>
    <w:p>
      <w:pPr>
        <w:pStyle w:val="Heading2"/>
      </w:pPr>
      <w:r>
        <w:rPr>
          <w:rFonts w:ascii="Times New Roman" w:hAnsi="Times New Roman"/>
        </w:rPr>
        <w:t>Konkrete Arbeitsfragen</w:t>
      </w:r>
    </w:p>
    <w:p>
      <w:pPr>
        <w:pStyle w:val="ListBullet"/>
      </w:pPr>
      <w:r>
        <w:t>Welche Unterlage ist Original, welche nur Weiterleitung?</w:t>
      </w:r>
    </w:p>
    <w:p>
      <w:pPr>
        <w:pStyle w:val="ListBullet"/>
      </w:pPr>
      <w:r>
        <w:t>Welche Person kann den Vorgang aus eigener Wahrnehmung schildern?</w:t>
      </w:r>
    </w:p>
    <w:p>
      <w:pPr>
        <w:pStyle w:val="ListBullet"/>
      </w:pPr>
      <w:r>
        <w:t>Welche Frist läuft, und ab welchem Zugang?</w:t>
      </w:r>
    </w:p>
    <w:p>
      <w:pPr>
        <w:pStyle w:val="ListBullet"/>
      </w:pPr>
      <w:r>
        <w:t>Welche Rechtsfolge wäre bei ungünstiger Lesart realistisch?</w:t>
      </w:r>
    </w:p>
    <w:p>
      <w:pPr>
        <w:pStyle w:val="ListBullet"/>
      </w:pPr>
      <w:r>
        <w:t>Welche Punkte sollten intern geklärt werden, bevor nach außen geschrieben wird?</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