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pStyle w:val="Heading2"/>
      </w:pPr>
      <w:r>
        <w:rPr>
          <w:rFonts w:ascii="Times New Roman" w:hAnsi="Times New Roman"/>
        </w:rPr>
        <w:t>Beteiligte</w:t>
      </w:r>
    </w:p>
    <w:p>
      <w:pPr>
        <w:jc w:val="left"/>
      </w:pPr>
      <w:r>
        <w:t>Apotheke Kornblume, substituierender Arzt, Festivalveranstalter, Patientin, Gesundheitsamt und Polizei.</w:t>
      </w:r>
    </w:p>
    <w:p>
      <w:pPr>
        <w:pStyle w:val="Heading2"/>
      </w:pPr>
      <w:r>
        <w:rPr>
          <w:rFonts w:ascii="Times New Roman" w:hAnsi="Times New Roman"/>
        </w:rPr>
        <w:t>Ausgeschriebener Aktenstand</w:t>
      </w:r>
    </w:p>
    <w:p>
      <w:pPr>
        <w:jc w:val="left"/>
      </w:pPr>
      <w:r>
        <w:t>BtM-Abgabe, Substitutionsdokumentation, Verlustmeldung und Festival-Sicherheitskonzept überschneiden sich in einer heiklen Woche.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BtMG, BtMVV, Apothekenrecht, ärztliche Dokumentationspflichten, Gefahrenabwehr und OWi-/Strafrisiken.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