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Ergänzende Aktenstücke Apotheke, Substitution und Festivalfund</w:t>
      </w:r>
    </w:p>
    <w:p>
      <w:pPr>
        <w:pStyle w:val="Heading2"/>
      </w:pPr>
      <w:r>
        <w:rPr>
          <w:rFonts w:ascii="Times New Roman" w:hAnsi="Times New Roman"/>
        </w:rPr>
        <w:t>Vollständige Gesprächsnotiz</w:t>
      </w:r>
    </w:p>
    <w:p>
      <w:pPr>
        <w:jc w:val="left"/>
      </w:pPr>
      <w:r>
        <w:t>Am 04.06.2026 schilderte Apothekerin Marta Kirschbaum und Substitutionspatient Lennart Aue die Angelegenheit in einem längeren Telefonat. Gegenstand ist Unklare Abgabe eines Substitutionsmittels, Festivalfund mit beschrifteter Apothekentüte, BtM-Rezeptdokumentation und drohende fahrerlaubnisrechtliche Folgefragen. Die Darstellung war nicht linear: Zunächst standen praktische Fristen und die Sorge vor Eskalation im Vordergrund, danach erst die rechtliche Einordnung. Für die weitere Bearbeitung ist deshalb wichtig, die Akte nicht nur nach Rechtsgebieten, sondern nach Entscheidungsdruck zu ordnen: Was muss sofort gesichert werden, was darf noch offen bleiben, und welche Erklärung kann später als Einlassung, Geständnis, Anerkenntnis oder zumindest als ungünstige Tatsachenbehauptung gelesen werden.</w:t>
      </w:r>
    </w:p>
    <w:p>
      <w:pPr>
        <w:jc w:val="left"/>
      </w:pPr>
      <w:r>
        <w:t>Die Rezeptkopie trägt eine unleserliche Uhrzeit. Die PTA erinnert sich an eine Abholung durch den Patienten selbst; die Polizei behauptet, die Tüte sei am Festivalzaun bei einer Begleiterin gefunden worden. In der BtM-Dokumentation ist die Chargennummer richtig, aber die Unterschriftenzeile wurde erst am Montag nachgetragen. Nach Durchsicht der bisherigen Unterlagen fällt auf, dass mehrere Beteiligte dieselben Worte unterschiedlich verwenden. “Freigabe”, “Kenntnis”, “Sicherung”, “Rüge” und “Abstimmung” tauchen in E-Mails, Tabellen und Gesprächsnotizen auf, ohne dass klar ist, ob damit eine rechtliche Erklärung, eine interne Arbeitsanweisung oder nur eine vorläufige Arbeitshypothese gemeint ist. Für die weitere Bearbeitung genügt deshalb kein bloßer Ergebnisvermerk. Erforderlich ist ein nachvollziehbarer Ablauf mit Tonfall, Unsicherheiten und Belegstellen, damit spätere Schreiben, Gespräche und Anträge auf derselben Tatsachengrundlage stehen.</w:t>
      </w:r>
    </w:p>
    <w:p>
      <w:pPr>
        <w:pStyle w:val="Heading2"/>
      </w:pPr>
      <w:r>
        <w:rPr>
          <w:rFonts w:ascii="Times New Roman" w:hAnsi="Times New Roman"/>
        </w:rPr>
        <w:t>E-Mail der Apotheke an die Verteidigung mit Ablaufdarstellung</w:t>
      </w:r>
    </w:p>
    <w:p>
      <w:pPr>
        <w:jc w:val="left"/>
      </w:pPr>
      <w:r>
        <w:t>```</w:t>
      </w:r>
    </w:p>
    <w:p>
      <w:pPr>
        <w:jc w:val="left"/>
      </w:pPr>
      <w:r>
        <w:t>Von:      marta.kirschbaum@apotheke-am-stadttor.test</w:t>
      </w:r>
    </w:p>
    <w:p>
      <w:pPr>
        <w:jc w:val="left"/>
      </w:pPr>
      <w:r>
        <w:t>An:       verteidigung@kanzlei-linden.test</w:t>
      </w:r>
    </w:p>
    <w:p>
      <w:pPr>
        <w:jc w:val="left"/>
      </w:pPr>
      <w:r>
        <w:t>Datum:    Do 04.06.2026, 08:47 Uhr</w:t>
      </w:r>
    </w:p>
    <w:p>
      <w:pPr>
        <w:jc w:val="left"/>
      </w:pPr>
      <w:r>
        <w:t>Betreff:  Ablauf Substitutionsabgabe 18.05.2026 / Festivalfund am Folgetag</w:t>
      </w:r>
    </w:p>
    <w:p>
      <w:pPr>
        <w:jc w:val="left"/>
      </w:pPr>
      <w:r>
        <w:t>```</w:t>
      </w:r>
    </w:p>
    <w:p>
      <w:pPr>
        <w:jc w:val="left"/>
      </w:pPr>
      <w:r>
        <w:t>Guten Morgen,</w:t>
      </w:r>
    </w:p>
    <w:p>
      <w:pPr>
        <w:jc w:val="left"/>
      </w:pPr>
      <w:r>
        <w:t>ich fasse den Stand noch einmal vollständig zusammen, weil mir nach dem gestrigen Gespräch aufgefallen ist, dass wir sonst zu schnell in die Bewertung springen. Wir haben einerseits Unterlagen, die wirklich belastbar sind, andererseits aber auch viele Aussagen, die nur als Hörensagen, Rückschau oder interne Erwartung formuliert wurden. Ich möchte vermeiden, dass wir aus einem ungeordneten Zwischenstand eine Erklärung machen, die später gegen uns verwendet wird.</w:t>
      </w:r>
    </w:p>
    <w:p>
      <w:pPr>
        <w:jc w:val="left"/>
      </w:pPr>
      <w:r>
        <w:t>Wichtig ist mir außerdem, dass wir die Beteiligten nicht mit pauschalen Vorwürfen konfrontieren. Bitte bereiten Sie die nächsten Schritte so vor, dass wir konkrete Fragen stellen können: Wer wusste wann was, welches Dokument lag vor, wer durfte für wen handeln, welche Frist lief, und welche Alternative wäre realistisch gewesen? Wenn wir nur abstrakt “Compliance” oder “Rechtsrisiko” sagen, bekommen wir vermutlich Abwehr. Wenn wir dagegen sauber nach Datum, Dokument und Entscheidung fragen, bekommen wir verwertbare Antworten.</w:t>
      </w:r>
    </w:p>
    <w:p>
      <w:pPr>
        <w:jc w:val="left"/>
      </w:pPr>
      <w:r>
        <w:t>Bitte trennen Sie Betäubungsmittelstrafrecht, Apothekenaufsicht und Fahrerlaubnisrecht; der Sachverhalt darf nicht vorschnell als Weitergabe gewertet werden. Bitte geben Sie mir bis morgen 12:00 Uhr eine Fassung, die ich intern weiterleiten kann. Sie darf gern klar sein, aber sie soll nicht dramatisieren. Wir brauchen eine Sprache, die die Sache ernst nimmt und trotzdem handhabbar bleibt.</w:t>
      </w:r>
    </w:p>
    <w:p>
      <w:pPr>
        <w:jc w:val="left"/>
      </w:pPr>
      <w:r>
        <w:t>Viele Grüße</w:t>
      </w:r>
    </w:p>
    <w:p>
      <w:pPr>
        <w:jc w:val="left"/>
      </w:pPr>
      <w:r>
        <w:t>Apothekerin Marta Kirschbaum und Substitutionspatient Lennart Aue</w:t>
      </w:r>
    </w:p>
    <w:p>
      <w:pPr>
        <w:pStyle w:val="Heading2"/>
      </w:pPr>
      <w:r>
        <w:rPr>
          <w:rFonts w:ascii="Times New Roman" w:hAnsi="Times New Roman"/>
        </w:rPr>
        <w:t>Interner Arbeitsvermerk</w:t>
      </w:r>
    </w:p>
    <w:p>
      <w:pPr>
        <w:jc w:val="left"/>
      </w:pPr>
      <w:r>
        <w:t>Die Akte ist nicht entscheidungsreif, aber sie ist arbeitsfähig. Der nächste Schritt besteht nicht darin, eine abschließende Rechtsmeinung zu formulieren, sondern die beweisbaren Tatsachen von Wertungen zu trennen. Dabei sind vier Ebenen auseinanderzuhalten.</w:t>
      </w:r>
    </w:p>
    <w:p>
      <w:pPr>
        <w:jc w:val="left"/>
      </w:pPr>
      <w:r>
        <w:t>Erstens: der dokumentierte Ablauf. Hierzu gehören E-Mails, Tabellen, Vermerke, Bescheide, Protokolle, Rechnungen, Fotos und Systemlogs. Diese Unterlagen sind nur dann hilfreich, wenn sie mit Datum, Urheber, Empfänger und Anlass erfasst werden. Ein Screenshot ohne Kontext ist kein guter Beleg; eine E-Mail ohne Anhänge kann missverständlich sein; ein Tabellenstand beweist selten, wer ihn verändert hat.</w:t>
      </w:r>
    </w:p>
    <w:p>
      <w:pPr>
        <w:jc w:val="left"/>
      </w:pPr>
      <w:r>
        <w:t>Zweitens: die rechtliche Schwelle. Die Akte darf nicht so behandelt werden, als sei jede Unordnung bereits ein Rechtsverstoß. Zu prüfen ist jeweils, welche Tatbestandsmerkmale wirklich erfüllt sein müssen, welche Obliegenheiten nur vertraglich wirken, welche behördlichen Anforderungen formell sind und welche Punkte lediglich gute Praxis darstellen. Diese Trennung verhindert, dass die Gegenseite Nebensächlichkeiten als Hauptproblem setzt.</w:t>
      </w:r>
    </w:p>
    <w:p>
      <w:pPr>
        <w:jc w:val="left"/>
      </w:pPr>
      <w:r>
        <w:t>Drittens: die Kommunikationslinie. Nach außen sollte nicht behauptet werden, was noch nicht belegt ist. Nach innen darf die Lage aber auch nicht verharmlost werden. Eine brauchbare Formulierung lautet: “Wir prüfen den Vorgang anhand der gesicherten Unterlagen, halten die tatsächliche Bewertung offen und melden uns nach Abschluss der Dokumentensichtung mit konkreten Korrektur- oder Verteidigungsvorschlägen.”</w:t>
      </w:r>
    </w:p>
    <w:p>
      <w:pPr>
        <w:jc w:val="left"/>
      </w:pPr>
      <w:r>
        <w:t>Viertens: die Entscheidungsvorlage. Die Mandantschaft benötigt kein abstraktes Lehrbuch, sondern Optionen. Option A ist die kooperative Klärung mit begrenzter Offenlegung. Option B ist eine formelle Verteidigungslinie mit Akteneinsicht, Fristenkontrolle und Schweige-/Zurückbehaltungsrechten. Option C ist eine wirtschaftliche Bereinigung durch Vergleich, Nachbesserung oder interne Maßnahme, wenn das rechtlich zulässig und taktisch sinnvoll ist.</w:t>
      </w:r>
    </w:p>
    <w:p>
      <w:pPr>
        <w:pStyle w:val="Heading2"/>
      </w:pPr>
      <w:r>
        <w:rPr>
          <w:rFonts w:ascii="Times New Roman" w:hAnsi="Times New Roman"/>
        </w:rPr>
        <w:t>Entwurf einer Stellungnahme an Staatsanwaltschaft und Fahrerlaubnisstelle</w:t>
      </w:r>
    </w:p>
    <w:p>
      <w:pPr>
        <w:jc w:val="left"/>
      </w:pPr>
      <w:r>
        <w:t>Sehr geehrte Damen und Herren,</w:t>
      </w:r>
    </w:p>
    <w:p>
      <w:pPr>
        <w:jc w:val="left"/>
      </w:pPr>
      <w:r>
        <w:t>wir zeigen die rechtliche Prüfung des oben genannten Vorgangs an. Damit die Angelegenheit sachgerecht bearbeitet werden kann, bitten wir zunächst um Übersendung der vollständigen Unterlagen, auf die Sie Ihre bisherige Bewertung stützen. Dazu gehören insbesondere sämtliche Ausgangsschreiben, Anlagen, Protokolle, Zustellnachweise, internen Vermerke, Lichtbilder, Tabellenstände und etwaige elektronische Kommunikationsdaten, soweit diese für den konkreten Vorgang herangezogen werden sollen.</w:t>
      </w:r>
    </w:p>
    <w:p>
      <w:pPr>
        <w:jc w:val="left"/>
      </w:pPr>
      <w:r>
        <w:t>Unsere Mandantschaft wird den Sachverhalt sorgfältig aufarbeiten. Eine abschließende Stellungnahme ist vor Einsicht in die vollständige Entscheidungsgrundlage nicht möglich. Vorsorglich weisen wir darauf hin, dass kurze Zusammenfassungen, telefonische Eindrücke oder einzelne Screenshots die vollständige Aktenlage nicht ersetzen. Entscheidend ist, welche konkrete Tatsache zu welchem Zeitpunkt dokumentiert war und welche rechtliche Folge daraus abgeleitet werden soll.</w:t>
      </w:r>
    </w:p>
    <w:p>
      <w:pPr>
        <w:jc w:val="left"/>
      </w:pPr>
      <w:r>
        <w:t>Bitte teilen Sie außerdem mit, welche Frist Sie für die Stellungnahme zugrunde legen und ob eine Fristverlängerung bis zum 24.06.2026 gewährt wird. Die Verlängerung ist erforderlich, weil mehrere Unterlagen bei Dritten angefordert werden müssen und weil die Akte ohne diese Unterlagen nicht verantwortbar bewertet werden kann.</w:t>
      </w:r>
    </w:p>
    <w:p>
      <w:pPr>
        <w:jc w:val="left"/>
      </w:pPr>
      <w:r>
        <w:t>Mit freundlichen Grüßen</w:t>
      </w:r>
    </w:p>
    <w:p>
      <w:pPr>
        <w:jc w:val="left"/>
      </w:pPr>
      <w:r>
        <w:t>[Entwurf]</w:t>
      </w:r>
    </w:p>
    <w:p>
      <w:pPr>
        <w:pStyle w:val="Heading2"/>
      </w:pPr>
      <w:r>
        <w:rPr>
          <w:rFonts w:ascii="Times New Roman" w:hAnsi="Times New Roman"/>
        </w:rPr>
        <w:t>Beweis- und Fristenlogik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Konkrete Frage</w:t>
            </w:r>
          </w:p>
        </w:tc>
        <w:tc>
          <w:tcPr>
            <w:tcW w:type="dxa" w:w="2268"/>
          </w:tcPr>
          <w:p>
            <w:r>
              <w:rPr>
                <w:rFonts w:ascii="Times New Roman" w:hAnsi="Times New Roman"/>
                <w:b/>
                <w:sz w:val="20"/>
              </w:rPr>
              <w:t>Benötigter Beleg</w:t>
            </w:r>
          </w:p>
        </w:tc>
        <w:tc>
          <w:tcPr>
            <w:tcW w:type="dxa" w:w="2268"/>
          </w:tcPr>
          <w:p>
            <w:r>
              <w:rPr>
                <w:rFonts w:ascii="Times New Roman" w:hAnsi="Times New Roman"/>
                <w:b/>
                <w:sz w:val="20"/>
              </w:rPr>
              <w:t>Risiko, wenn offen</w:t>
            </w:r>
          </w:p>
        </w:tc>
      </w:tr>
      <w:tr>
        <w:tc>
          <w:tcPr>
            <w:tcW w:type="dxa" w:w="2268"/>
          </w:tcPr>
          <w:p>
            <w:r>
              <w:rPr>
                <w:rFonts w:ascii="Times New Roman" w:hAnsi="Times New Roman"/>
                <w:sz w:val="20"/>
              </w:rPr>
              <w:t>Zugang</w:t>
            </w:r>
          </w:p>
        </w:tc>
        <w:tc>
          <w:tcPr>
            <w:tcW w:type="dxa" w:w="2268"/>
          </w:tcPr>
          <w:p>
            <w:r>
              <w:rPr>
                <w:rFonts w:ascii="Times New Roman" w:hAnsi="Times New Roman"/>
                <w:sz w:val="20"/>
              </w:rPr>
              <w:t>Wann ging welches Schreiben tatsächlich zu?</w:t>
            </w:r>
          </w:p>
        </w:tc>
        <w:tc>
          <w:tcPr>
            <w:tcW w:type="dxa" w:w="2268"/>
          </w:tcPr>
          <w:p>
            <w:r>
              <w:rPr>
                <w:rFonts w:ascii="Times New Roman" w:hAnsi="Times New Roman"/>
                <w:sz w:val="20"/>
              </w:rPr>
              <w:t>Umschlag, Zustellnachweis, E-Mail-Header, Empfangsbestätigung</w:t>
            </w:r>
          </w:p>
        </w:tc>
        <w:tc>
          <w:tcPr>
            <w:tcW w:type="dxa" w:w="2268"/>
          </w:tcPr>
          <w:p>
            <w:r>
              <w:rPr>
                <w:rFonts w:ascii="Times New Roman" w:hAnsi="Times New Roman"/>
                <w:sz w:val="20"/>
              </w:rPr>
              <w:t>Frist falsch berechnet oder unklare Präklusion</w:t>
            </w:r>
          </w:p>
        </w:tc>
      </w:tr>
      <w:tr>
        <w:tc>
          <w:tcPr>
            <w:tcW w:type="dxa" w:w="2268"/>
          </w:tcPr>
          <w:p>
            <w:r>
              <w:rPr>
                <w:rFonts w:ascii="Times New Roman" w:hAnsi="Times New Roman"/>
                <w:sz w:val="20"/>
              </w:rPr>
              <w:t>Urheberschaft</w:t>
            </w:r>
          </w:p>
        </w:tc>
        <w:tc>
          <w:tcPr>
            <w:tcW w:type="dxa" w:w="2268"/>
          </w:tcPr>
          <w:p>
            <w:r>
              <w:rPr>
                <w:rFonts w:ascii="Times New Roman" w:hAnsi="Times New Roman"/>
                <w:sz w:val="20"/>
              </w:rPr>
              <w:t>Wer hat die maßgebliche Erklärung abgegeben?</w:t>
            </w:r>
          </w:p>
        </w:tc>
        <w:tc>
          <w:tcPr>
            <w:tcW w:type="dxa" w:w="2268"/>
          </w:tcPr>
          <w:p>
            <w:r>
              <w:rPr>
                <w:rFonts w:ascii="Times New Roman" w:hAnsi="Times New Roman"/>
                <w:sz w:val="20"/>
              </w:rPr>
              <w:t>Signatur, Vollmacht, Rollenbeschreibung, Systemprotokoll</w:t>
            </w:r>
          </w:p>
        </w:tc>
        <w:tc>
          <w:tcPr>
            <w:tcW w:type="dxa" w:w="2268"/>
          </w:tcPr>
          <w:p>
            <w:r>
              <w:rPr>
                <w:rFonts w:ascii="Times New Roman" w:hAnsi="Times New Roman"/>
                <w:sz w:val="20"/>
              </w:rPr>
              <w:t>Erklärung wird falscher Person zugerechnet</w:t>
            </w:r>
          </w:p>
        </w:tc>
      </w:tr>
      <w:tr>
        <w:tc>
          <w:tcPr>
            <w:tcW w:type="dxa" w:w="2268"/>
          </w:tcPr>
          <w:p>
            <w:r>
              <w:rPr>
                <w:rFonts w:ascii="Times New Roman" w:hAnsi="Times New Roman"/>
                <w:sz w:val="20"/>
              </w:rPr>
              <w:t>Inhalt</w:t>
            </w:r>
          </w:p>
        </w:tc>
        <w:tc>
          <w:tcPr>
            <w:tcW w:type="dxa" w:w="2268"/>
          </w:tcPr>
          <w:p>
            <w:r>
              <w:rPr>
                <w:rFonts w:ascii="Times New Roman" w:hAnsi="Times New Roman"/>
                <w:sz w:val="20"/>
              </w:rPr>
              <w:t>Was stand im vollständigen Dokument, nicht nur in der Zusammenfassung?</w:t>
            </w:r>
          </w:p>
        </w:tc>
        <w:tc>
          <w:tcPr>
            <w:tcW w:type="dxa" w:w="2268"/>
          </w:tcPr>
          <w:p>
            <w:r>
              <w:rPr>
                <w:rFonts w:ascii="Times New Roman" w:hAnsi="Times New Roman"/>
                <w:sz w:val="20"/>
              </w:rPr>
              <w:t>Volltext, Anlagen, vorherige Versionen</w:t>
            </w:r>
          </w:p>
        </w:tc>
        <w:tc>
          <w:tcPr>
            <w:tcW w:type="dxa" w:w="2268"/>
          </w:tcPr>
          <w:p>
            <w:r>
              <w:rPr>
                <w:rFonts w:ascii="Times New Roman" w:hAnsi="Times New Roman"/>
                <w:sz w:val="20"/>
              </w:rPr>
              <w:t>Akte wirkt dünn und angreifbar</w:t>
            </w:r>
          </w:p>
        </w:tc>
      </w:tr>
      <w:tr>
        <w:tc>
          <w:tcPr>
            <w:tcW w:type="dxa" w:w="2268"/>
          </w:tcPr>
          <w:p>
            <w:r>
              <w:rPr>
                <w:rFonts w:ascii="Times New Roman" w:hAnsi="Times New Roman"/>
                <w:sz w:val="20"/>
              </w:rPr>
              <w:t>Reaktion</w:t>
            </w:r>
          </w:p>
        </w:tc>
        <w:tc>
          <w:tcPr>
            <w:tcW w:type="dxa" w:w="2268"/>
          </w:tcPr>
          <w:p>
            <w:r>
              <w:rPr>
                <w:rFonts w:ascii="Times New Roman" w:hAnsi="Times New Roman"/>
                <w:sz w:val="20"/>
              </w:rPr>
              <w:t>Wer reagierte wann und mit welchem Ziel?</w:t>
            </w:r>
          </w:p>
        </w:tc>
        <w:tc>
          <w:tcPr>
            <w:tcW w:type="dxa" w:w="2268"/>
          </w:tcPr>
          <w:p>
            <w:r>
              <w:rPr>
                <w:rFonts w:ascii="Times New Roman" w:hAnsi="Times New Roman"/>
                <w:sz w:val="20"/>
              </w:rPr>
              <w:t>Antwortmail, Gesprächsnotiz, Kalendertermin</w:t>
            </w:r>
          </w:p>
        </w:tc>
        <w:tc>
          <w:tcPr>
            <w:tcW w:type="dxa" w:w="2268"/>
          </w:tcPr>
          <w:p>
            <w:r>
              <w:rPr>
                <w:rFonts w:ascii="Times New Roman" w:hAnsi="Times New Roman"/>
                <w:sz w:val="20"/>
              </w:rPr>
              <w:t>Schweigen oder Eile wird falsch interpretiert</w:t>
            </w:r>
          </w:p>
        </w:tc>
      </w:tr>
      <w:tr>
        <w:tc>
          <w:tcPr>
            <w:tcW w:type="dxa" w:w="2268"/>
          </w:tcPr>
          <w:p>
            <w:r>
              <w:rPr>
                <w:rFonts w:ascii="Times New Roman" w:hAnsi="Times New Roman"/>
                <w:sz w:val="20"/>
              </w:rPr>
              <w:t>Nächster Schritt</w:t>
            </w:r>
          </w:p>
        </w:tc>
        <w:tc>
          <w:tcPr>
            <w:tcW w:type="dxa" w:w="2268"/>
          </w:tcPr>
          <w:p>
            <w:r>
              <w:rPr>
                <w:rFonts w:ascii="Times New Roman" w:hAnsi="Times New Roman"/>
                <w:sz w:val="20"/>
              </w:rPr>
              <w:t>Was muss jetzt entschieden werden?</w:t>
            </w:r>
          </w:p>
        </w:tc>
        <w:tc>
          <w:tcPr>
            <w:tcW w:type="dxa" w:w="2268"/>
          </w:tcPr>
          <w:p>
            <w:r>
              <w:rPr>
                <w:rFonts w:ascii="Times New Roman" w:hAnsi="Times New Roman"/>
                <w:sz w:val="20"/>
              </w:rPr>
              <w:t>Fristenliste, Verantwortliche, Entscheidungsvermerk</w:t>
            </w:r>
          </w:p>
        </w:tc>
        <w:tc>
          <w:tcPr>
            <w:tcW w:type="dxa" w:w="2268"/>
          </w:tcPr>
          <w:p>
            <w:r>
              <w:rPr>
                <w:rFonts w:ascii="Times New Roman" w:hAnsi="Times New Roman"/>
                <w:sz w:val="20"/>
              </w:rPr>
              <w:t>Verfahren läuft weiter, ohne dass die Mandantschaft steuert</w:t>
            </w:r>
          </w:p>
        </w:tc>
      </w:tr>
    </w:tbl>
    <w:p>
      <w:pPr>
        <w:pStyle w:val="Heading2"/>
      </w:pPr>
      <w:r>
        <w:rPr>
          <w:rFonts w:ascii="Times New Roman" w:hAnsi="Times New Roman"/>
        </w:rPr>
        <w:t>Weiterer Bearbeitungsvermerk</w:t>
      </w:r>
    </w:p>
    <w:p>
      <w:pPr>
        <w:jc w:val="left"/>
      </w:pPr>
      <w:r>
        <w:t>Für die nächste Durchsicht wird vorgeschlagen, den Vorgang nicht vorschnell auf “richtig” oder “falsch” zu verkürzen. Zweckmäßiger ist ein dreistufiger Arbeitsgang: zunächst Tatsachen und Belege sichern, danach die rechtlichen Schwellen prüfen und erst anschließend einen Text erzeugen, der nach außen verwendbar ist. Offene, streitige und beweisbedürftige Punkte bleiben dabei ausdrücklich sichtbar; sie werden nicht zugeschüttet, sondern in eine Form gebracht, mit der die Beteiligten weiterarbeiten können.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