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Maßnahmenplan</w:t>
      </w:r>
    </w:p>
    <w:p>
      <w:pPr>
        <w:pStyle w:val="Heading2"/>
      </w:pPr>
      <w:r>
        <w:rPr>
          <w:rFonts w:ascii="Times New Roman" w:hAnsi="Times New Roman"/>
        </w:rPr>
        <w:t>Sofort</w:t>
      </w:r>
    </w:p>
    <w:p>
      <w:pPr>
        <w:pStyle w:val="ListBullet"/>
      </w:pPr>
      <w:r>
        <w:t>Bank kontaktieren, atypische Abflüsse und Auslandsüberweisungen markieren,</w:t>
      </w:r>
    </w:p>
    <w:p>
      <w:pPr>
        <w:jc w:val="left"/>
      </w:pPr>
      <w:r>
        <w:t>weitere hohe Überweisungen nur nach Rücksprache ausführen lassen, soweit</w:t>
      </w:r>
    </w:p>
    <w:p>
      <w:pPr>
        <w:jc w:val="left"/>
      </w:pPr>
      <w:r>
        <w:t>rechtlich und technisch möglich.</w:t>
      </w:r>
    </w:p>
    <w:p>
      <w:pPr>
        <w:pStyle w:val="ListBullet"/>
      </w:pPr>
      <w:r>
        <w:t>Onlinebanking, Karten, Vollmachten und TAN-Verfahren prüfen.</w:t>
      </w:r>
    </w:p>
    <w:p>
      <w:pPr>
        <w:pStyle w:val="ListBullet"/>
      </w:pPr>
      <w:r>
        <w:t>PC-Doktor/Digital-Schutz24-Zugriffe stoppen und Gerät unabhängig prüfen.</w:t>
      </w:r>
    </w:p>
    <w:p>
      <w:pPr>
        <w:pStyle w:val="ListBullet"/>
      </w:pPr>
      <w:r>
        <w:t>Verträge und Belege unverändert sichern.</w:t>
      </w:r>
    </w:p>
    <w:p>
      <w:pPr>
        <w:pStyle w:val="ListBullet"/>
      </w:pPr>
      <w:r>
        <w:t>"Europol Sicherheitsdienst"-Zahlungen als akuten Verdacht behandeln und</w:t>
      </w:r>
    </w:p>
    <w:p>
      <w:pPr>
        <w:jc w:val="left"/>
      </w:pPr>
      <w:r>
        <w:t>Rückholung sowie Strafanzeige prüfen.</w:t>
      </w:r>
    </w:p>
    <w:p>
      <w:pPr>
        <w:pStyle w:val="Heading2"/>
      </w:pPr>
      <w:r>
        <w:rPr>
          <w:rFonts w:ascii="Times New Roman" w:hAnsi="Times New Roman"/>
        </w:rPr>
        <w:t>Diese Woche</w:t>
      </w:r>
    </w:p>
    <w:p>
      <w:pPr>
        <w:pStyle w:val="ListBullet"/>
      </w:pPr>
      <w:r>
        <w:t>SEPA-Mandate zu Lotterie, Kontaktportal, Fernwartung und Sicherheitssoftware</w:t>
      </w:r>
    </w:p>
    <w:p>
      <w:pPr>
        <w:jc w:val="left"/>
      </w:pPr>
      <w:r>
        <w:t>prüfen und bei fehlendem Nutzen beenden.</w:t>
      </w:r>
    </w:p>
    <w:p>
      <w:pPr>
        <w:pStyle w:val="ListBullet"/>
      </w:pPr>
      <w:r>
        <w:t>Kündigungsfristen für Premium-Kontakte, PC-Doktor, Digital-Schutz24 und NKL</w:t>
      </w:r>
    </w:p>
    <w:p>
      <w:pPr>
        <w:jc w:val="left"/>
      </w:pPr>
      <w:r>
        <w:t>berechnen.</w:t>
      </w:r>
    </w:p>
    <w:p>
      <w:pPr>
        <w:pStyle w:val="ListBullet"/>
      </w:pPr>
      <w:r>
        <w:t>Helvetica, Windpark und Horizon-Verträge auf Rücktritt, Widerruf,</w:t>
      </w:r>
    </w:p>
    <w:p>
      <w:pPr>
        <w:jc w:val="left"/>
      </w:pPr>
      <w:r>
        <w:t>Anfechtung, Beratungspflichten und Genehmigungsbedarf prüfen.</w:t>
      </w:r>
    </w:p>
    <w:p>
      <w:pPr>
        <w:pStyle w:val="ListBullet"/>
      </w:pPr>
      <w:r>
        <w:t>Liefer- und Verwahrnachweise für Edelmetall und Diamant anfordern.</w:t>
      </w:r>
    </w:p>
    <w:p>
      <w:pPr>
        <w:pStyle w:val="ListBullet"/>
      </w:pPr>
      <w:r>
        <w:t>Vertrag und Leistungsnachweise von Svetlana Petrova anfordern.</w:t>
      </w:r>
    </w:p>
    <w:p>
      <w:pPr>
        <w:pStyle w:val="Heading2"/>
      </w:pPr>
      <w:r>
        <w:rPr>
          <w:rFonts w:ascii="Times New Roman" w:hAnsi="Times New Roman"/>
        </w:rPr>
        <w:t>Dieser Monat</w:t>
      </w:r>
    </w:p>
    <w:p>
      <w:pPr>
        <w:pStyle w:val="ListBullet"/>
      </w:pPr>
      <w:r>
        <w:t>Vermögensverzeichnis um zweifelhafte Vermögenspositionen und mögliche</w:t>
      </w:r>
    </w:p>
    <w:p>
      <w:pPr>
        <w:jc w:val="left"/>
      </w:pPr>
      <w:r>
        <w:t>Rückforderungsansprüche ergänzen.</w:t>
      </w:r>
    </w:p>
    <w:p>
      <w:pPr>
        <w:pStyle w:val="ListBullet"/>
      </w:pPr>
      <w:r>
        <w:t>Bericht an das Betreuungsgericht mit Ampeltabelle und Beweislücken</w:t>
      </w:r>
    </w:p>
    <w:p>
      <w:pPr>
        <w:jc w:val="left"/>
      </w:pPr>
      <w:r>
        <w:t>vorbereiten.</w:t>
      </w:r>
    </w:p>
    <w:p>
      <w:pPr>
        <w:pStyle w:val="ListBullet"/>
      </w:pPr>
      <w:r>
        <w:t>Prüfen, ob Einwilligungsvorbehalt, Sperrvermerk oder weitere gerichtliche</w:t>
      </w:r>
    </w:p>
    <w:p>
      <w:pPr>
        <w:jc w:val="left"/>
      </w:pPr>
      <w:r>
        <w:t>Schutzmaßnahmen anzuregen sind.</w:t>
      </w:r>
    </w:p>
    <w:p>
      <w:pPr>
        <w:pStyle w:val="ListBullet"/>
      </w:pPr>
      <w:r>
        <w:t>Wiederkehrende Vertragszahlungen mit der Bank monatlich kontrollieren.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