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Vertragsauszüge und Prüfmappe Schmalfeld</w:t>
      </w:r>
    </w:p>
    <w:p>
      <w:pPr>
        <w:jc w:val="left"/>
      </w:pPr>
      <w:r>
        <w:rPr>
          <w:b/>
        </w:rPr>
        <w:t>Mandat:</w:t>
      </w:r>
      <w:r>
        <w:t xml:space="preserve"> Herbert Wilhelm Schmalfeld</w:t>
      </w:r>
    </w:p>
    <w:p>
      <w:pPr>
        <w:jc w:val="left"/>
      </w:pPr>
      <w:r>
        <w:rPr>
          <w:b/>
        </w:rPr>
        <w:t>Bearbeitung:</w:t>
      </w:r>
      <w:r>
        <w:t xml:space="preserve"> Berufsbetreuerin Dr. Marita Goldstein / Kanzlei Riepenhausen &amp; Partner</w:t>
      </w:r>
    </w:p>
    <w:p>
      <w:pPr>
        <w:jc w:val="left"/>
      </w:pPr>
      <w:r>
        <w:rPr>
          <w:b/>
        </w:rPr>
        <w:t>Stand:</w:t>
      </w:r>
      <w:r>
        <w:t xml:space="preserve"> 29.05.2026</w:t>
      </w:r>
    </w:p>
    <w:p>
      <w:pPr>
        <w:jc w:val="left"/>
      </w:pPr>
      <w:r>
        <w:rPr>
          <w:b/>
        </w:rPr>
        <w:t>Zweck:</w:t>
      </w:r>
      <w:r>
        <w:t xml:space="preserve"> Erste rechtliche und tatsächliche Sortierung der Vertragsmappe nach Übernahme der Vermögenssorge.</w:t>
      </w:r>
    </w:p>
    <w:p>
      <w:pPr>
        <w:pStyle w:val="Heading2"/>
      </w:pPr>
      <w:r>
        <w:rPr>
          <w:rFonts w:ascii="Times New Roman" w:hAnsi="Times New Roman"/>
        </w:rPr>
        <w:t>1. Alltagsverträge mit plausibler Lebensführung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Unterlagenlage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Nächster Schritt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Wohnraummietvertrag WBM, Tannenstraße 19, Berlin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Mietvertrag, Nachtrag Betriebskosten, SEPA-Mandat, letzte Mieterhöhung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Plausible Hauptwohnung; keine unmittelbare Auffälligkeit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Betriebskostenabrechnung 2025 anfordern; prüfen, ob Dauerauftrag mit Vertrag übereinstimmt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Stromlieferung Vattenfall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Lieferbestätigung, Abschlagsplan, Jahresabrechnung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Betrag im Kontoauszug plausibel, aber Abschlag steigt seit Januar 2025 deutlich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Verbrauchsdaten mit Haushaltsgröße und Leerstandszeiten abgleichen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Telekom Festnetz/Internet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Vertragsbestätigung 2021, Zusatzoption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Grundvertrag plausibel; Zusatzoption "MagentaCloud Plus" wirkt nicht genutzt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Nutzung und Kündigungsfrist prüfen; Vollmacht für Vertragsauskunft senden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Hausrat/Privathaftpflicht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Versicherungsschein, Beitragsrechnung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Beitrag angemessen; keine Doppelversicherung ersichtlich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Deckungssumme und Begünstigte dokumentieren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Wiederkehrende Zahlungen mit Schutzbedarf</w:t>
      </w:r>
    </w:p>
    <w:p>
      <w:pPr>
        <w:pStyle w:val="Heading3"/>
      </w:pPr>
      <w:r>
        <w:rPr>
          <w:rFonts w:ascii="Times New Roman" w:hAnsi="Times New Roman"/>
        </w:rPr>
        <w:t>2.1 NKL-Lotterie und Premium-Kontakte</w:t>
      </w:r>
    </w:p>
    <w:p>
      <w:pPr>
        <w:jc w:val="left"/>
      </w:pPr>
      <w:r>
        <w:t>Die Vertragsmappe enthält zwei unterschiedliche Abbuchungsstränge:</w:t>
      </w:r>
    </w:p>
    <w:p>
      <w:pPr>
        <w:pStyle w:val="ListBullet"/>
      </w:pPr>
      <w:r>
        <w:rPr>
          <w:b/>
        </w:rPr>
        <w:t>Norddeutsche Klassenlotterie Vermittlung GmbH</w:t>
      </w:r>
      <w:r>
        <w:t>, monatlich 74,90 EUR, Lastschrift seit 02/2024.</w:t>
      </w:r>
    </w:p>
    <w:p>
      <w:pPr>
        <w:pStyle w:val="ListBullet"/>
      </w:pPr>
      <w:r>
        <w:rPr>
          <w:b/>
        </w:rPr>
        <w:t>Premium-Kontakte Seniorenclub GmbH</w:t>
      </w:r>
      <w:r>
        <w:t>, monatlich 49,95 EUR, angebliche "Platin-Mitgliedschaft", Vertragsschluss telefonisch am 18.09.2024.</w:t>
      </w:r>
    </w:p>
    <w:p>
      <w:pPr>
        <w:jc w:val="left"/>
      </w:pPr>
      <w:r>
        <w:rPr>
          <w:b/>
        </w:rPr>
        <w:t>Auffälligkeiten:</w:t>
      </w:r>
      <w:r>
        <w:t xml:space="preserve"> Beide Anbieter arbeiten mit laufenden Kleinstbeträgen, die in der Kontobewegung leicht untergehen. Bei Premium-Kontakte fehlt ein unterschriebener Vertrag; vorhanden sind nur Willkommensbrief, Hotline-Notiz und AGB-Auszug. Herr Schmalfeld erinnert sich an "ein nettes Gespräch wegen Freizeitgruppe", nicht an eine kostenpflichtige Mitgliedschaft.</w:t>
      </w:r>
    </w:p>
    <w:p>
      <w:pPr>
        <w:jc w:val="left"/>
      </w:pPr>
      <w:r>
        <w:rPr>
          <w:b/>
        </w:rPr>
        <w:t>Prüfschritte:</w:t>
      </w:r>
      <w:r>
        <w:t xml:space="preserve"> Widerrufs-/Kündigungsfenster dokumentieren, SEPA-Mandat anfordern, Telefonmitschnitt nur datenschutzrechtlich sauber verlangen, weitere Abbuchungen vorsorglich sperren, Rückforderung ab Zugang Betreuerbestellung prüfen.</w:t>
      </w:r>
    </w:p>
    <w:p>
      <w:pPr>
        <w:pStyle w:val="Heading3"/>
      </w:pPr>
      <w:r>
        <w:rPr>
          <w:rFonts w:ascii="Times New Roman" w:hAnsi="Times New Roman"/>
        </w:rPr>
        <w:t>2.2 PC-Doktor und Digital-Schutz24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Anbieter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Vertragsbild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PC-Doktor Nordost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189,00 EUR einmalig + 29,90 EUR monatlich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Fernwartungspaket, angeblicher Virenfund, TeamViewer-Protokoll 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Zugriff auf Rechner, Banking-Risiko, Doppelabrechnung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Digital-Schutz24 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69,90 EUR monatlich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"Cyber-Seniorenschutz Premium", Laufzeit 24 Monate, sehr kleine Widerrufsbelehrung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Nutzen zweifelhaft, aggressive Telefonakquise möglich</w:t>
            </w:r>
          </w:p>
        </w:tc>
      </w:tr>
    </w:tbl>
    <w:p>
      <w:pPr>
        <w:jc w:val="left"/>
      </w:pPr>
      <w:r>
        <w:rPr>
          <w:b/>
        </w:rPr>
        <w:t>Sofortmaßnahmen:</w:t>
      </w:r>
      <w:r>
        <w:t xml:space="preserve"> Rechner nicht mehr für Online-Banking nutzen, Zugangsdaten ändern, Bank informieren, Fernwartungssoftware durch IT-Dienstleister entfernen lassen, Anbieter zu Vertragsschluss, Leistungsnachweisen und Aufzeichnungen auffordern.</w:t>
      </w:r>
    </w:p>
    <w:p>
      <w:pPr>
        <w:pStyle w:val="Heading2"/>
      </w:pPr>
      <w:r>
        <w:rPr>
          <w:rFonts w:ascii="Times New Roman" w:hAnsi="Times New Roman"/>
        </w:rPr>
        <w:t>3. Kapitalanlage- und Vermögensrisiken</w:t>
      </w:r>
    </w:p>
    <w:p>
      <w:pPr>
        <w:pStyle w:val="Heading3"/>
      </w:pPr>
      <w:r>
        <w:rPr>
          <w:rFonts w:ascii="Times New Roman" w:hAnsi="Times New Roman"/>
        </w:rPr>
        <w:t>3.1 Helvetica Private Markets AG</w:t>
      </w:r>
    </w:p>
    <w:p>
      <w:pPr>
        <w:jc w:val="left"/>
      </w:pPr>
      <w:r>
        <w:rPr>
          <w:b/>
        </w:rPr>
        <w:t>Unterlagen:</w:t>
      </w:r>
      <w:r>
        <w:t xml:space="preserve"> Beratungsbogen, Zeichnungsschein "AlpenReal Yield 7", Kontoauszug mit Überweisung 14.800,00 EUR, E-Mail eines "Senior Relationship Managers".</w:t>
      </w:r>
    </w:p>
    <w:p>
      <w:pPr>
        <w:jc w:val="left"/>
      </w:pPr>
      <w:r>
        <w:rPr>
          <w:b/>
        </w:rPr>
        <w:t>Risikobild:</w:t>
      </w:r>
      <w:r>
        <w:t xml:space="preserve"> Der Beratungsbogen ist formal vollständig, passt aber nicht zur bekannten Lebenssituation. Angekreuzt sind "langjährige Kapitalmarkterfahrung", "Risikoklasse 5" und "Anlagehorizont 10 Jahre"; Herr Schmalfeld lebt von Rente und kleinen Rücklagen. Eine Geeignetheitserklärung mit verständlicher Kosten- und Risikoaufklärung fehlt.</w:t>
      </w:r>
    </w:p>
    <w:p>
      <w:pPr>
        <w:jc w:val="left"/>
      </w:pPr>
      <w:r>
        <w:rPr>
          <w:b/>
        </w:rPr>
        <w:t>Arbeitsfrage:</w:t>
      </w:r>
      <w:r>
        <w:t xml:space="preserve"> Rückabwicklung wegen Beratungsfehler, Widerruf, Anfechtung oder deliktischer Anspruch? Zunächst Kontoempfänger, Depot-/Registerstelle und tatsächlichen Produktstatus klären.</w:t>
      </w:r>
    </w:p>
    <w:p>
      <w:pPr>
        <w:pStyle w:val="Heading3"/>
      </w:pPr>
      <w:r>
        <w:rPr>
          <w:rFonts w:ascii="Times New Roman" w:hAnsi="Times New Roman"/>
        </w:rPr>
        <w:t>3.2 Windpark Oderbruch KG</w:t>
      </w:r>
    </w:p>
    <w:p>
      <w:pPr>
        <w:jc w:val="left"/>
      </w:pPr>
      <w:r>
        <w:rPr>
          <w:b/>
        </w:rPr>
        <w:t>Unterlagen:</w:t>
      </w:r>
      <w:r>
        <w:t xml:space="preserve"> Beteiligungsangebot, Beitrittserklärung, Zahlungsanforderung über 9.500,00 EUR, Anlegerinformation mit Nachrang-/Totalverlustrisiko.</w:t>
      </w:r>
    </w:p>
    <w:p>
      <w:pPr>
        <w:jc w:val="left"/>
      </w:pPr>
      <w:r>
        <w:rPr>
          <w:b/>
        </w:rPr>
        <w:t>Risikobild:</w:t>
      </w:r>
      <w:r>
        <w:t xml:space="preserve"> Illiquide Beteiligung mit langer Laufzeit, Nachschusshinweise uneinheitlich. Die Unterschrift auf der Beitrittserklärung ist zittrig, aber nicht offensichtlich unecht. In der Telefonnotiz steht: "Herr S. möchte etwas Grünes für die Enkel tun", obwohl keine Enkel bekannt sind.</w:t>
      </w:r>
    </w:p>
    <w:p>
      <w:pPr>
        <w:jc w:val="left"/>
      </w:pPr>
      <w:r>
        <w:rPr>
          <w:b/>
        </w:rPr>
        <w:t>Arbeitsfrage:</w:t>
      </w:r>
      <w:r>
        <w:t xml:space="preserve"> Geschäftsfähigkeit im Zeitpunkt der Zeichnung, Haustür-/Telefonanbahnung, Prospektübergabe, Beratungssituation und Plausibilität der Unterschrift.</w:t>
      </w:r>
    </w:p>
    <w:p>
      <w:pPr>
        <w:pStyle w:val="Heading3"/>
      </w:pPr>
      <w:r>
        <w:rPr>
          <w:rFonts w:ascii="Times New Roman" w:hAnsi="Times New Roman"/>
        </w:rPr>
        <w:t>3.3 Horizon Property Costa Blanca S.L.</w:t>
      </w:r>
    </w:p>
    <w:p>
      <w:pPr>
        <w:jc w:val="left"/>
      </w:pPr>
      <w:r>
        <w:rPr>
          <w:b/>
        </w:rPr>
        <w:t>Unterlagen:</w:t>
      </w:r>
      <w:r>
        <w:t xml:space="preserve"> Reservierungsvereinbarung "Apartamento Sol Naciente", Zahlungsbeleg 6.000,00 EUR, spanisch/deutscher E-Mail-Verlauf, unvollständige Stornobedingungen.</w:t>
      </w:r>
    </w:p>
    <w:p>
      <w:pPr>
        <w:jc w:val="left"/>
      </w:pPr>
      <w:r>
        <w:rPr>
          <w:b/>
        </w:rPr>
        <w:t>Risikobild:</w:t>
      </w:r>
      <w:r>
        <w:t xml:space="preserve"> Die Reservierung passt nicht zu Mobilität, Einkommen und Gesundheitszustand. Herr Schmalfeld war seit 2019 nicht im Ausland. Die Zahlung lief an ein Konto in Spanien; unklar ist, ob überhaupt ein Erwerbsobjekt existiert oder nur eine Reservierungsgebühr verlangt wurde.</w:t>
      </w:r>
    </w:p>
    <w:p>
      <w:pPr>
        <w:jc w:val="left"/>
      </w:pPr>
      <w:r>
        <w:rPr>
          <w:b/>
        </w:rPr>
        <w:t>Arbeitsfrage:</w:t>
      </w:r>
      <w:r>
        <w:t xml:space="preserve"> Rücktritt/Stornierung, Rückforderung, Strafanzeige erst nach Dokumentensicherung, Kontakt zur Bank wegen Recall-Möglichkeiten.</w:t>
      </w:r>
    </w:p>
    <w:p>
      <w:pPr>
        <w:pStyle w:val="Heading2"/>
      </w:pPr>
      <w:r>
        <w:rPr>
          <w:rFonts w:ascii="Times New Roman" w:hAnsi="Times New Roman"/>
        </w:rPr>
        <w:t>4. Haustür- und Seniorenvertrieb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Anbieter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Produkt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Auffälligkeit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VitalPlus Schlafsysteme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Matratzenauflage "Orthoflex 900"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1.249,00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Lieferadresse Wohnung, keine ärztliche Verordnung, Ratenzahlungsangebot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SeniorenWohl Direktservice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Notrufarmband + Wartungsvertrag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39,90 EUR monatlich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Doppelung mit Pflegekassen-Notruf möglich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ThermoVital Energieberatung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"Heizkosten-Sofortanalyse"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349,00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Eigentum an Wohnung, Leistung wirtschaftlich sinnlos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SafeGold Europe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Goldsparplan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250,00 EUR monatlich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Lagerort und Eigentumsnachweis unklar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Diamanten Kontor Rhein-Main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"Investmentstein 0,7 ct"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2.950,00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Echtheitszertifikat ohne unabhängige Prüfstelle</w:t>
            </w:r>
          </w:p>
        </w:tc>
      </w:tr>
    </w:tbl>
    <w:p>
      <w:pPr>
        <w:jc w:val="left"/>
      </w:pPr>
      <w:r>
        <w:rPr>
          <w:b/>
        </w:rPr>
        <w:t>Gemeinsame Leitfrage:</w:t>
      </w:r>
      <w:r>
        <w:t xml:space="preserve"> Welche Geschäfte sind noch laufend, welche können gekündigt oder widerrufen werden, welche Zahlungen sind rückforderbar, und wo braucht die Betreuerin eine Genehmigung oder einen Bericht an das Betreuungsgericht?</w:t>
      </w:r>
    </w:p>
    <w:p>
      <w:pPr>
        <w:pStyle w:val="Heading2"/>
      </w:pPr>
      <w:r>
        <w:rPr>
          <w:rFonts w:ascii="Times New Roman" w:hAnsi="Times New Roman"/>
        </w:rPr>
        <w:t>5. Beleglücken</w:t>
      </w:r>
    </w:p>
    <w:p>
      <w:pPr>
        <w:pStyle w:val="ListBullet"/>
      </w:pPr>
      <w:r>
        <w:t>Keine vollständigen Kontoauszüge für Januar bis März 2023.</w:t>
      </w:r>
    </w:p>
    <w:p>
      <w:pPr>
        <w:pStyle w:val="ListBullet"/>
      </w:pPr>
      <w:r>
        <w:t>Keine Originalvollmacht gegenüber PC-Doktor und Digital-Schutz24.</w:t>
      </w:r>
    </w:p>
    <w:p>
      <w:pPr>
        <w:pStyle w:val="ListBullet"/>
      </w:pPr>
      <w:r>
        <w:t>Kein Nachweis, wie Helvetica und Windpark an die Telefonnummer gelangten.</w:t>
      </w:r>
    </w:p>
    <w:p>
      <w:pPr>
        <w:pStyle w:val="ListBullet"/>
      </w:pPr>
      <w:r>
        <w:t>Keine Zustellnachweise für Widerrufsbelehrungen.</w:t>
      </w:r>
    </w:p>
    <w:p>
      <w:pPr>
        <w:pStyle w:val="ListBullet"/>
      </w:pPr>
      <w:r>
        <w:t>Unklar, ob SafeGold tatsächlich Eigentum an physischem Gold verschafft.</w:t>
      </w:r>
    </w:p>
    <w:p>
      <w:pPr>
        <w:pStyle w:val="ListBullet"/>
      </w:pPr>
      <w:r>
        <w:t>Keine Pflegekassenunterlagen zum Hausnotruf.</w:t>
      </w:r>
    </w:p>
    <w:p>
      <w:pPr>
        <w:pStyle w:val="Heading2"/>
      </w:pPr>
      <w:r>
        <w:rPr>
          <w:rFonts w:ascii="Times New Roman" w:hAnsi="Times New Roman"/>
        </w:rPr>
        <w:t>6. Priorisierte Maßnahmen</w:t>
      </w:r>
    </w:p>
    <w:p>
      <w:pPr>
        <w:pStyle w:val="ListNumber"/>
      </w:pPr>
      <w:r>
        <w:rPr>
          <w:b/>
        </w:rPr>
        <w:t>Bankenschutz:</w:t>
      </w:r>
      <w:r>
        <w:t xml:space="preserve"> Lastschriftsperren für Premium-Kontakte, Digital-Schutz24, SafeGold und SeniorenWohl prüfen; Online-Banking absichern.</w:t>
      </w:r>
    </w:p>
    <w:p>
      <w:pPr>
        <w:pStyle w:val="ListNumber"/>
      </w:pPr>
      <w:r>
        <w:rPr>
          <w:b/>
        </w:rPr>
        <w:t>IT-Schutz:</w:t>
      </w:r>
      <w:r>
        <w:t xml:space="preserve"> Rechner und Mobiltelefon durch unabhängigen IT-Dienstleister prüfen lassen; Fernwartungssoftware entfernen.</w:t>
      </w:r>
    </w:p>
    <w:p>
      <w:pPr>
        <w:pStyle w:val="ListNumber"/>
      </w:pPr>
      <w:r>
        <w:rPr>
          <w:b/>
        </w:rPr>
        <w:t>Vertragsauskunft:</w:t>
      </w:r>
      <w:r>
        <w:t xml:space="preserve"> Anbieter mit Betreuerausweis anschreiben; Vertragsschluss, Aufzeichnungen, Widerrufsbelehrung, SEPA-Mandat und Leistungsnachweise anfordern.</w:t>
      </w:r>
    </w:p>
    <w:p>
      <w:pPr>
        <w:pStyle w:val="ListNumber"/>
      </w:pPr>
      <w:r>
        <w:rPr>
          <w:b/>
        </w:rPr>
        <w:t>Rückforderung:</w:t>
      </w:r>
      <w:r>
        <w:t xml:space="preserve"> Zahlungen ab Eintritt erkennbarer Schutzbedürftigkeit und ab Betreuerbestellung getrennt prüfen.</w:t>
      </w:r>
    </w:p>
    <w:p>
      <w:pPr>
        <w:pStyle w:val="ListNumber"/>
      </w:pPr>
      <w:r>
        <w:rPr>
          <w:b/>
        </w:rPr>
        <w:t>Gericht:</w:t>
      </w:r>
      <w:r>
        <w:t xml:space="preserve"> Betreuungsgericht über größere Kapitalanlage- und Auslandsimmobilienrisiken informieren; Genehmigungsbedarf für Vergleich, Rückabwicklung oder Verwertung prüfen.</w:t>
      </w:r>
    </w:p>
    <w:p>
      <w:pPr>
        <w:pStyle w:val="ListNumber"/>
      </w:pPr>
      <w:r>
        <w:rPr>
          <w:b/>
        </w:rPr>
        <w:t>Familie/Umfeld:</w:t>
      </w:r>
      <w:r>
        <w:t xml:space="preserve"> Nur mit Einwilligung oder rechtlicher Grundlage einbinden; private Hilfeleistungen nicht vorschnell als Missbrauch bewerten, aber belegen lassen.</w:t>
      </w:r>
    </w:p>
    <w:p>
      <w:pPr>
        <w:pStyle w:val="Heading2"/>
      </w:pPr>
      <w:r>
        <w:rPr>
          <w:rFonts w:ascii="Times New Roman" w:hAnsi="Times New Roman"/>
        </w:rPr>
        <w:t>7. Arbeitsnotiz für den Skill</w:t>
      </w:r>
    </w:p>
    <w:p>
      <w:pPr>
        <w:jc w:val="left"/>
      </w:pPr>
      <w:r>
        <w:t>Der Skill soll nicht "alles stornieren" empfehlen. Er soll die Verträge in drei Körbe legen:</w:t>
      </w:r>
    </w:p>
    <w:p>
      <w:pPr>
        <w:pStyle w:val="ListBullet"/>
      </w:pPr>
      <w:r>
        <w:rPr>
          <w:b/>
        </w:rPr>
        <w:t>Erhalten:</w:t>
      </w:r>
      <w:r>
        <w:t xml:space="preserve"> plausible Versorgung und notwendige Alltagsverträge.</w:t>
      </w:r>
    </w:p>
    <w:p>
      <w:pPr>
        <w:pStyle w:val="ListBullet"/>
      </w:pPr>
      <w:r>
        <w:rPr>
          <w:b/>
        </w:rPr>
        <w:t>Klären:</w:t>
      </w:r>
      <w:r>
        <w:t xml:space="preserve"> Leistungen mit denkbarem Nutzen, aber fehlendem Nachweis.</w:t>
      </w:r>
    </w:p>
    <w:p>
      <w:pPr>
        <w:pStyle w:val="ListBullet"/>
      </w:pPr>
      <w:r>
        <w:rPr>
          <w:b/>
        </w:rPr>
        <w:t>Stoppen/Rückfordern:</w:t>
      </w:r>
      <w:r>
        <w:t xml:space="preserve"> laufende Zahlungen ohne nachvollziehbaren Bedarf, Hochrisikoanlagen, Fernwartungs- und Auslandszahlungen.</w:t>
      </w:r>
    </w:p>
    <w:p>
      <w:pPr>
        <w:jc w:val="left"/>
      </w:pPr>
      <w:r>
        <w:t>Jede Maßnahme braucht eine kurze Begründung, einen Belegverweis und eine Frist.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