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Bankrückfrage, Saldenabgleich und Onlinebanking</w:t>
      </w:r>
    </w:p>
    <w:p>
      <w:pPr>
        <w:jc w:val="left"/>
      </w:pPr>
      <w:r>
        <w:rPr>
          <w:b/>
        </w:rPr>
        <w:t>Bearbeitung:</w:t>
      </w:r>
      <w:r>
        <w:t xml:space="preserve"> Dr. Marita Goldstein</w:t>
      </w:r>
    </w:p>
    <w:p>
      <w:pPr>
        <w:jc w:val="left"/>
      </w:pPr>
      <w:r>
        <w:rPr>
          <w:b/>
        </w:rPr>
        <w:t>Datum:</w:t>
      </w:r>
      <w:r>
        <w:t xml:space="preserve"> 30.05.2026</w:t>
      </w:r>
    </w:p>
    <w:p>
      <w:pPr>
        <w:jc w:val="left"/>
      </w:pPr>
      <w:r>
        <w:rPr>
          <w:b/>
        </w:rPr>
        <w:t>Betroffener:</w:t>
      </w:r>
      <w:r>
        <w:t xml:space="preserve"> Herbert Wilhelm Schmalfeld</w:t>
      </w:r>
    </w:p>
    <w:p>
      <w:pPr>
        <w:jc w:val="left"/>
      </w:pPr>
      <w:r>
        <w:rPr>
          <w:b/>
        </w:rPr>
        <w:t>Konto:</w:t>
      </w:r>
      <w:r>
        <w:t xml:space="preserve"> Stadtsparkasse Berlin, DE89 1005 0000 0800 4523 19</w:t>
      </w:r>
    </w:p>
    <w:p>
      <w:pPr>
        <w:pStyle w:val="Heading2"/>
      </w:pPr>
      <w:r>
        <w:rPr>
          <w:rFonts w:ascii="Times New Roman" w:hAnsi="Times New Roman"/>
        </w:rPr>
        <w:t>Anlass</w:t>
      </w:r>
    </w:p>
    <w:p>
      <w:pPr>
        <w:jc w:val="left"/>
      </w:pPr>
      <w:r>
        <w:t>Die Kontoauszüge 2023 bis 2025 enthalten rechnerisch auffällige Saldenwechsel, mehrere Auslandsüberweisungen und wiederkehrende Lastschriften, die nicht ohne Weiteres zu den in der Wohnung gefundenen Vertragsunterlagen passen. Zusätzlich besteht der Verdacht, dass Herr Schmalfeld Onlinebanking mit Unterstützung Dritter oder über Fernwartungssoftware genutzt hat.</w:t>
      </w:r>
    </w:p>
    <w:p>
      <w:pPr>
        <w:jc w:val="left"/>
      </w:pPr>
      <w:r>
        <w:t>Die Bank soll nicht vorschnell zur Rückbuchung sämtlicher Zahlungen gedrängt werden. Zunächst geht es um Sicherung, Saldenklärung, Zugangsschutz und die Frage, welche Vorgänge noch technisch beeinflussbar sind.</w:t>
      </w:r>
    </w:p>
    <w:p>
      <w:pPr>
        <w:pStyle w:val="Heading2"/>
      </w:pPr>
      <w:r>
        <w:rPr>
          <w:rFonts w:ascii="Times New Roman" w:hAnsi="Times New Roman"/>
        </w:rPr>
        <w:t>Offene Bankfragen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Thema</w:t>
            </w:r>
          </w:p>
        </w:tc>
        <w:tc>
          <w:tcPr>
            <w:tcW w:type="dxa" w:w="2268"/>
          </w:tcPr>
          <w:p>
            <w:r>
              <w:rPr>
                <w:rFonts w:ascii="Times New Roman" w:hAnsi="Times New Roman"/>
                <w:b/>
                <w:sz w:val="20"/>
              </w:rPr>
              <w:t>Konkrete Rückfrage</w:t>
            </w:r>
          </w:p>
        </w:tc>
        <w:tc>
          <w:tcPr>
            <w:tcW w:type="dxa" w:w="2268"/>
          </w:tcPr>
          <w:p>
            <w:r>
              <w:rPr>
                <w:rFonts w:ascii="Times New Roman" w:hAnsi="Times New Roman"/>
                <w:b/>
                <w:sz w:val="20"/>
              </w:rPr>
              <w:t>Aktenbezug</w:t>
            </w:r>
          </w:p>
        </w:tc>
        <w:tc>
          <w:tcPr>
            <w:tcW w:type="dxa" w:w="2268"/>
          </w:tcPr>
          <w:p>
            <w:r>
              <w:rPr>
                <w:rFonts w:ascii="Times New Roman" w:hAnsi="Times New Roman"/>
                <w:b/>
                <w:sz w:val="20"/>
              </w:rPr>
              <w:t>Dringlichkeit</w:t>
            </w:r>
          </w:p>
        </w:tc>
      </w:tr>
      <w:tr>
        <w:tc>
          <w:tcPr>
            <w:tcW w:type="dxa" w:w="2268"/>
          </w:tcPr>
          <w:p>
            <w:r>
              <w:rPr>
                <w:rFonts w:ascii="Times New Roman" w:hAnsi="Times New Roman"/>
                <w:sz w:val="20"/>
              </w:rPr>
              <w:t>Saldenabgleich</w:t>
            </w:r>
          </w:p>
        </w:tc>
        <w:tc>
          <w:tcPr>
            <w:tcW w:type="dxa" w:w="2268"/>
          </w:tcPr>
          <w:p>
            <w:r>
              <w:rPr>
                <w:rFonts w:ascii="Times New Roman" w:hAnsi="Times New Roman"/>
                <w:sz w:val="20"/>
              </w:rPr>
              <w:t>Bitte Anfangs- und Endsalden je Monat 2023 bis 2025 als CSV oder Bankbestätigung übermitteln.</w:t>
            </w:r>
          </w:p>
        </w:tc>
        <w:tc>
          <w:tcPr>
            <w:tcW w:type="dxa" w:w="2268"/>
          </w:tcPr>
          <w:p>
            <w:r>
              <w:rPr>
                <w:rFonts w:ascii="Times New Roman" w:hAnsi="Times New Roman"/>
                <w:sz w:val="20"/>
              </w:rPr>
              <w:t xml:space="preserve">Kontoauszüge PDF, </w:t>
            </w:r>
            <w:r>
              <w:rPr>
                <w:rFonts w:ascii="Times New Roman" w:hAnsi="Times New Roman"/>
                <w:sz w:val="20"/>
              </w:rPr>
              <w:t>03_verdaechtige_transaktionen.csv</w:t>
            </w:r>
          </w:p>
        </w:tc>
        <w:tc>
          <w:tcPr>
            <w:tcW w:type="dxa" w:w="2268"/>
          </w:tcPr>
          <w:p>
            <w:r>
              <w:rPr>
                <w:rFonts w:ascii="Times New Roman" w:hAnsi="Times New Roman"/>
                <w:sz w:val="20"/>
              </w:rPr>
              <w:t>hoch</w:t>
            </w:r>
          </w:p>
        </w:tc>
      </w:tr>
      <w:tr>
        <w:tc>
          <w:tcPr>
            <w:tcW w:type="dxa" w:w="2268"/>
          </w:tcPr>
          <w:p>
            <w:r>
              <w:rPr>
                <w:rFonts w:ascii="Times New Roman" w:hAnsi="Times New Roman"/>
                <w:sz w:val="20"/>
              </w:rPr>
              <w:t>Onlinebanking</w:t>
            </w:r>
          </w:p>
        </w:tc>
        <w:tc>
          <w:tcPr>
            <w:tcW w:type="dxa" w:w="2268"/>
          </w:tcPr>
          <w:p>
            <w:r>
              <w:rPr>
                <w:rFonts w:ascii="Times New Roman" w:hAnsi="Times New Roman"/>
                <w:sz w:val="20"/>
              </w:rPr>
              <w:t>Welche TAN-Verfahren waren seit 01.01.2023 aktiv? Gab es Gerätewechsel, neue Mobilnummern oder PushTAN-Aktivierungen?</w:t>
            </w:r>
          </w:p>
        </w:tc>
        <w:tc>
          <w:tcPr>
            <w:tcW w:type="dxa" w:w="2268"/>
          </w:tcPr>
          <w:p>
            <w:r>
              <w:rPr>
                <w:rFonts w:ascii="Times New Roman" w:hAnsi="Times New Roman"/>
                <w:sz w:val="20"/>
              </w:rPr>
              <w:t>PC-Doktor, Digital-Schutz24</w:t>
            </w:r>
          </w:p>
        </w:tc>
        <w:tc>
          <w:tcPr>
            <w:tcW w:type="dxa" w:w="2268"/>
          </w:tcPr>
          <w:p>
            <w:r>
              <w:rPr>
                <w:rFonts w:ascii="Times New Roman" w:hAnsi="Times New Roman"/>
                <w:sz w:val="20"/>
              </w:rPr>
              <w:t>akut</w:t>
            </w:r>
          </w:p>
        </w:tc>
      </w:tr>
      <w:tr>
        <w:tc>
          <w:tcPr>
            <w:tcW w:type="dxa" w:w="2268"/>
          </w:tcPr>
          <w:p>
            <w:r>
              <w:rPr>
                <w:rFonts w:ascii="Times New Roman" w:hAnsi="Times New Roman"/>
                <w:sz w:val="20"/>
              </w:rPr>
              <w:t>Auslandsüberweisungen</w:t>
            </w:r>
          </w:p>
        </w:tc>
        <w:tc>
          <w:tcPr>
            <w:tcW w:type="dxa" w:w="2268"/>
          </w:tcPr>
          <w:p>
            <w:r>
              <w:rPr>
                <w:rFonts w:ascii="Times New Roman" w:hAnsi="Times New Roman"/>
                <w:sz w:val="20"/>
              </w:rPr>
              <w:t>Wer hat die Überweisungen an Helvetica und Horizon technisch ausgelöst: Filiale, Onlinebanking, Telefonbanking, Überweisungsträger?</w:t>
            </w:r>
          </w:p>
        </w:tc>
        <w:tc>
          <w:tcPr>
            <w:tcW w:type="dxa" w:w="2268"/>
          </w:tcPr>
          <w:p>
            <w:r>
              <w:rPr>
                <w:rFonts w:ascii="Times New Roman" w:hAnsi="Times New Roman"/>
                <w:sz w:val="20"/>
              </w:rPr>
              <w:t>Helvetica, Horizon</w:t>
            </w:r>
          </w:p>
        </w:tc>
        <w:tc>
          <w:tcPr>
            <w:tcW w:type="dxa" w:w="2268"/>
          </w:tcPr>
          <w:p>
            <w:r>
              <w:rPr>
                <w:rFonts w:ascii="Times New Roman" w:hAnsi="Times New Roman"/>
                <w:sz w:val="20"/>
              </w:rPr>
              <w:t>hoch</w:t>
            </w:r>
          </w:p>
        </w:tc>
      </w:tr>
      <w:tr>
        <w:tc>
          <w:tcPr>
            <w:tcW w:type="dxa" w:w="2268"/>
          </w:tcPr>
          <w:p>
            <w:r>
              <w:rPr>
                <w:rFonts w:ascii="Times New Roman" w:hAnsi="Times New Roman"/>
                <w:sz w:val="20"/>
              </w:rPr>
              <w:t>Rückruf/Recall</w:t>
            </w:r>
          </w:p>
        </w:tc>
        <w:tc>
          <w:tcPr>
            <w:tcW w:type="dxa" w:w="2268"/>
          </w:tcPr>
          <w:p>
            <w:r>
              <w:rPr>
                <w:rFonts w:ascii="Times New Roman" w:hAnsi="Times New Roman"/>
                <w:sz w:val="20"/>
              </w:rPr>
              <w:t>Für welche Überweisungen nach Spanien/Schweiz ist noch ein Recall technisch möglich oder bereits endgültig erledigt?</w:t>
            </w:r>
          </w:p>
        </w:tc>
        <w:tc>
          <w:tcPr>
            <w:tcW w:type="dxa" w:w="2268"/>
          </w:tcPr>
          <w:p>
            <w:r>
              <w:rPr>
                <w:rFonts w:ascii="Times New Roman" w:hAnsi="Times New Roman"/>
                <w:sz w:val="20"/>
              </w:rPr>
              <w:t>2024-08-11, 2024-06-23, 2025-12-09</w:t>
            </w:r>
          </w:p>
        </w:tc>
        <w:tc>
          <w:tcPr>
            <w:tcW w:type="dxa" w:w="2268"/>
          </w:tcPr>
          <w:p>
            <w:r>
              <w:rPr>
                <w:rFonts w:ascii="Times New Roman" w:hAnsi="Times New Roman"/>
                <w:sz w:val="20"/>
              </w:rPr>
              <w:t>hoch</w:t>
            </w:r>
          </w:p>
        </w:tc>
      </w:tr>
      <w:tr>
        <w:tc>
          <w:tcPr>
            <w:tcW w:type="dxa" w:w="2268"/>
          </w:tcPr>
          <w:p>
            <w:r>
              <w:rPr>
                <w:rFonts w:ascii="Times New Roman" w:hAnsi="Times New Roman"/>
                <w:sz w:val="20"/>
              </w:rPr>
              <w:t>Lastschriften</w:t>
            </w:r>
          </w:p>
        </w:tc>
        <w:tc>
          <w:tcPr>
            <w:tcW w:type="dxa" w:w="2268"/>
          </w:tcPr>
          <w:p>
            <w:r>
              <w:rPr>
                <w:rFonts w:ascii="Times New Roman" w:hAnsi="Times New Roman"/>
                <w:sz w:val="20"/>
              </w:rPr>
              <w:t>Welche SEPA-Mandatsreferenzen liegen zu Premium-Kontakte, PC-Doktor, Digital-Schutz24, SafeGold und SeniorenWohl vor?</w:t>
            </w:r>
          </w:p>
        </w:tc>
        <w:tc>
          <w:tcPr>
            <w:tcW w:type="dxa" w:w="2268"/>
          </w:tcPr>
          <w:p>
            <w:r>
              <w:rPr>
                <w:rFonts w:ascii="Times New Roman" w:hAnsi="Times New Roman"/>
                <w:sz w:val="20"/>
              </w:rPr>
              <w:t>Vertragsregister</w:t>
            </w:r>
          </w:p>
        </w:tc>
        <w:tc>
          <w:tcPr>
            <w:tcW w:type="dxa" w:w="2268"/>
          </w:tcPr>
          <w:p>
            <w:r>
              <w:rPr>
                <w:rFonts w:ascii="Times New Roman" w:hAnsi="Times New Roman"/>
                <w:sz w:val="20"/>
              </w:rPr>
              <w:t>mittel</w:t>
            </w:r>
          </w:p>
        </w:tc>
      </w:tr>
      <w:tr>
        <w:tc>
          <w:tcPr>
            <w:tcW w:type="dxa" w:w="2268"/>
          </w:tcPr>
          <w:p>
            <w:r>
              <w:rPr>
                <w:rFonts w:ascii="Times New Roman" w:hAnsi="Times New Roman"/>
                <w:sz w:val="20"/>
              </w:rPr>
              <w:t>Vollmachten</w:t>
            </w:r>
          </w:p>
        </w:tc>
        <w:tc>
          <w:tcPr>
            <w:tcW w:type="dxa" w:w="2268"/>
          </w:tcPr>
          <w:p>
            <w:r>
              <w:rPr>
                <w:rFonts w:ascii="Times New Roman" w:hAnsi="Times New Roman"/>
                <w:sz w:val="20"/>
              </w:rPr>
              <w:t>Wurde seit 2023 eine Kontovollmacht, Bankvollmacht, Vorsorgevollmacht oder Onlinebanking-Mitbenutzung eingetragen?</w:t>
            </w:r>
          </w:p>
        </w:tc>
        <w:tc>
          <w:tcPr>
            <w:tcW w:type="dxa" w:w="2268"/>
          </w:tcPr>
          <w:p>
            <w:r>
              <w:rPr>
                <w:rFonts w:ascii="Times New Roman" w:hAnsi="Times New Roman"/>
                <w:sz w:val="20"/>
              </w:rPr>
              <w:t>Betreuungsbeginn</w:t>
            </w:r>
          </w:p>
        </w:tc>
        <w:tc>
          <w:tcPr>
            <w:tcW w:type="dxa" w:w="2268"/>
          </w:tcPr>
          <w:p>
            <w:r>
              <w:rPr>
                <w:rFonts w:ascii="Times New Roman" w:hAnsi="Times New Roman"/>
                <w:sz w:val="20"/>
              </w:rPr>
              <w:t>hoch</w:t>
            </w:r>
          </w:p>
        </w:tc>
      </w:tr>
      <w:tr>
        <w:tc>
          <w:tcPr>
            <w:tcW w:type="dxa" w:w="2268"/>
          </w:tcPr>
          <w:p>
            <w:r>
              <w:rPr>
                <w:rFonts w:ascii="Times New Roman" w:hAnsi="Times New Roman"/>
                <w:sz w:val="20"/>
              </w:rPr>
              <w:t>Geldautomat/Filiale</w:t>
            </w:r>
          </w:p>
        </w:tc>
        <w:tc>
          <w:tcPr>
            <w:tcW w:type="dxa" w:w="2268"/>
          </w:tcPr>
          <w:p>
            <w:r>
              <w:rPr>
                <w:rFonts w:ascii="Times New Roman" w:hAnsi="Times New Roman"/>
                <w:sz w:val="20"/>
              </w:rPr>
              <w:t>Gibt es auffällige Barabhebungen kurz vor Haustürterminen oder Informationsveranstaltungen?</w:t>
            </w:r>
          </w:p>
        </w:tc>
        <w:tc>
          <w:tcPr>
            <w:tcW w:type="dxa" w:w="2268"/>
          </w:tcPr>
          <w:p>
            <w:r>
              <w:rPr>
                <w:rFonts w:ascii="Times New Roman" w:hAnsi="Times New Roman"/>
                <w:sz w:val="20"/>
              </w:rPr>
              <w:t>VitalPlus, SeniorenWohl, Diamanten Kontor</w:t>
            </w:r>
          </w:p>
        </w:tc>
        <w:tc>
          <w:tcPr>
            <w:tcW w:type="dxa" w:w="2268"/>
          </w:tcPr>
          <w:p>
            <w:r>
              <w:rPr>
                <w:rFonts w:ascii="Times New Roman" w:hAnsi="Times New Roman"/>
                <w:sz w:val="20"/>
              </w:rPr>
              <w:t>mittel</w:t>
            </w:r>
          </w:p>
        </w:tc>
      </w:tr>
    </w:tbl>
    <w:p>
      <w:pPr>
        <w:pStyle w:val="Heading2"/>
      </w:pPr>
      <w:r>
        <w:rPr>
          <w:rFonts w:ascii="Times New Roman" w:hAnsi="Times New Roman"/>
        </w:rPr>
        <w:t>Auffälligkeit: TAN-Brief vom 14.02.2024</w:t>
      </w:r>
    </w:p>
    <w:p>
      <w:pPr>
        <w:jc w:val="left"/>
      </w:pPr>
      <w:r>
        <w:t>In der Wohnungsmappe lag ein geöffneter Briefumschlag der Stadtsparkasse Berlin mit dem Betreff "Aktivierung pushTAN auf neuem Gerät". Der eigentliche Aktivierungsbrief ist nicht vollständig vorhanden. Auf der Rückseite des Umschlags steht handschriftlich:</w:t>
      </w:r>
    </w:p>
    <w:p>
      <w:pPr>
        <w:ind w:left="567"/>
      </w:pPr>
      <w:r>
        <w:rPr>
          <w:i/>
        </w:rPr>
        <w:t>"Herr K. hat das Handy repariert, Code nur kurz gesagt, nicht aufschreiben."</w:t>
      </w:r>
    </w:p>
    <w:p>
      <w:pPr>
        <w:jc w:val="left"/>
      </w:pPr>
      <w:r>
        <w:t>Unklar ist, wer "Herr K." ist. Möglich sind:</w:t>
      </w:r>
    </w:p>
    <w:p>
      <w:pPr>
        <w:pStyle w:val="ListBullet"/>
      </w:pPr>
      <w:r>
        <w:t>Techniker von PC-Doktor Nordost GmbH,</w:t>
      </w:r>
    </w:p>
    <w:p>
      <w:pPr>
        <w:pStyle w:val="ListBullet"/>
      </w:pPr>
      <w:r>
        <w:t>Nachbar Klaus Kröger aus dem zweiten Obergeschoss,</w:t>
      </w:r>
    </w:p>
    <w:p>
      <w:pPr>
        <w:pStyle w:val="ListBullet"/>
      </w:pPr>
      <w:r>
        <w:t>ein Mitarbeiter aus der Seniorenmesse im Rathaus Schöneberg,</w:t>
      </w:r>
    </w:p>
    <w:p>
      <w:pPr>
        <w:pStyle w:val="ListBullet"/>
      </w:pPr>
      <w:r>
        <w:t>eine ganz andere Person.</w:t>
      </w:r>
    </w:p>
    <w:p>
      <w:pPr>
        <w:jc w:val="left"/>
      </w:pPr>
      <w:r>
        <w:t>Diese Notiz ist gefährlich, aber nicht beweisend. Sie darf nicht als feststehender Missbrauch behandelt werden, solange Gerätedaten, Bankprotokolle und Aussagen nicht gesichert sind.</w:t>
      </w:r>
    </w:p>
    <w:p>
      <w:pPr>
        <w:pStyle w:val="Heading2"/>
      </w:pPr>
      <w:r>
        <w:rPr>
          <w:rFonts w:ascii="Times New Roman" w:hAnsi="Times New Roman"/>
        </w:rPr>
        <w:t>Saldenwiderspruch</w:t>
      </w:r>
    </w:p>
    <w:p>
      <w:pPr>
        <w:jc w:val="left"/>
      </w:pPr>
      <w:r>
        <w:t>Nach den vorliegenden PDF-Auszügen ergibt sich für einzelne Monate ein rechnerischer Sprung, der durch die sichtbaren Buchungen nicht erklärt wird. Besonders auffällig: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Zeitraum</w:t>
            </w:r>
          </w:p>
        </w:tc>
        <w:tc>
          <w:tcPr>
            <w:tcW w:type="dxa" w:w="2268"/>
          </w:tcPr>
          <w:p>
            <w:r>
              <w:rPr>
                <w:rFonts w:ascii="Times New Roman" w:hAnsi="Times New Roman"/>
                <w:b/>
                <w:sz w:val="20"/>
              </w:rPr>
              <w:t>Auszugssaldo</w:t>
            </w:r>
          </w:p>
        </w:tc>
        <w:tc>
          <w:tcPr>
            <w:tcW w:type="dxa" w:w="2268"/>
          </w:tcPr>
          <w:p>
            <w:r>
              <w:rPr>
                <w:rFonts w:ascii="Times New Roman" w:hAnsi="Times New Roman"/>
                <w:b/>
                <w:sz w:val="20"/>
              </w:rPr>
              <w:t>rechnerische Differenz nach sichtbaren Buchungen</w:t>
            </w:r>
          </w:p>
        </w:tc>
        <w:tc>
          <w:tcPr>
            <w:tcW w:type="dxa" w:w="2268"/>
          </w:tcPr>
          <w:p>
            <w:r>
              <w:rPr>
                <w:rFonts w:ascii="Times New Roman" w:hAnsi="Times New Roman"/>
                <w:b/>
                <w:sz w:val="20"/>
              </w:rPr>
              <w:t>Mögliche Erklärung</w:t>
            </w:r>
          </w:p>
        </w:tc>
      </w:tr>
      <w:tr>
        <w:tc>
          <w:tcPr>
            <w:tcW w:type="dxa" w:w="2268"/>
          </w:tcPr>
          <w:p>
            <w:r>
              <w:rPr>
                <w:rFonts w:ascii="Times New Roman" w:hAnsi="Times New Roman"/>
                <w:sz w:val="20"/>
              </w:rPr>
              <w:t>März 2023</w:t>
            </w:r>
          </w:p>
        </w:tc>
        <w:tc>
          <w:tcPr>
            <w:tcW w:type="dxa" w:w="2268"/>
          </w:tcPr>
          <w:p>
            <w:r>
              <w:rPr>
                <w:rFonts w:ascii="Times New Roman" w:hAnsi="Times New Roman"/>
                <w:sz w:val="20"/>
              </w:rPr>
              <w:t>81.204,77 EUR</w:t>
            </w:r>
          </w:p>
        </w:tc>
        <w:tc>
          <w:tcPr>
            <w:tcW w:type="dxa" w:w="2268"/>
          </w:tcPr>
          <w:p>
            <w:r>
              <w:rPr>
                <w:rFonts w:ascii="Times New Roman" w:hAnsi="Times New Roman"/>
                <w:sz w:val="20"/>
              </w:rPr>
              <w:t>-1.240,00 EUR</w:t>
            </w:r>
          </w:p>
        </w:tc>
        <w:tc>
          <w:tcPr>
            <w:tcW w:type="dxa" w:w="2268"/>
          </w:tcPr>
          <w:p>
            <w:r>
              <w:rPr>
                <w:rFonts w:ascii="Times New Roman" w:hAnsi="Times New Roman"/>
                <w:sz w:val="20"/>
              </w:rPr>
              <w:t>fehlendes Blatt, Barabhebung, bankinterne Korrektur</w:t>
            </w:r>
          </w:p>
        </w:tc>
      </w:tr>
      <w:tr>
        <w:tc>
          <w:tcPr>
            <w:tcW w:type="dxa" w:w="2268"/>
          </w:tcPr>
          <w:p>
            <w:r>
              <w:rPr>
                <w:rFonts w:ascii="Times New Roman" w:hAnsi="Times New Roman"/>
                <w:sz w:val="20"/>
              </w:rPr>
              <w:t>August 2024</w:t>
            </w:r>
          </w:p>
        </w:tc>
        <w:tc>
          <w:tcPr>
            <w:tcW w:type="dxa" w:w="2268"/>
          </w:tcPr>
          <w:p>
            <w:r>
              <w:rPr>
                <w:rFonts w:ascii="Times New Roman" w:hAnsi="Times New Roman"/>
                <w:sz w:val="20"/>
              </w:rPr>
              <w:t>52.118,03 EUR</w:t>
            </w:r>
          </w:p>
        </w:tc>
        <w:tc>
          <w:tcPr>
            <w:tcW w:type="dxa" w:w="2268"/>
          </w:tcPr>
          <w:p>
            <w:r>
              <w:rPr>
                <w:rFonts w:ascii="Times New Roman" w:hAnsi="Times New Roman"/>
                <w:sz w:val="20"/>
              </w:rPr>
              <w:t>-10.000,00 EUR</w:t>
            </w:r>
          </w:p>
        </w:tc>
        <w:tc>
          <w:tcPr>
            <w:tcW w:type="dxa" w:w="2268"/>
          </w:tcPr>
          <w:p>
            <w:r>
              <w:rPr>
                <w:rFonts w:ascii="Times New Roman" w:hAnsi="Times New Roman"/>
                <w:sz w:val="20"/>
              </w:rPr>
              <w:t>Horizon-Reservierung, aber Valuta/Tag unscharf</w:t>
            </w:r>
          </w:p>
        </w:tc>
      </w:tr>
      <w:tr>
        <w:tc>
          <w:tcPr>
            <w:tcW w:type="dxa" w:w="2268"/>
          </w:tcPr>
          <w:p>
            <w:r>
              <w:rPr>
                <w:rFonts w:ascii="Times New Roman" w:hAnsi="Times New Roman"/>
                <w:sz w:val="20"/>
              </w:rPr>
              <w:t>Dezember 2025</w:t>
            </w:r>
          </w:p>
        </w:tc>
        <w:tc>
          <w:tcPr>
            <w:tcW w:type="dxa" w:w="2268"/>
          </w:tcPr>
          <w:p>
            <w:r>
              <w:rPr>
                <w:rFonts w:ascii="Times New Roman" w:hAnsi="Times New Roman"/>
                <w:sz w:val="20"/>
              </w:rPr>
              <w:t>31.774,82 EUR</w:t>
            </w:r>
          </w:p>
        </w:tc>
        <w:tc>
          <w:tcPr>
            <w:tcW w:type="dxa" w:w="2268"/>
          </w:tcPr>
          <w:p>
            <w:r>
              <w:rPr>
                <w:rFonts w:ascii="Times New Roman" w:hAnsi="Times New Roman"/>
                <w:sz w:val="20"/>
              </w:rPr>
              <w:t>-6.356,48 EUR</w:t>
            </w:r>
          </w:p>
        </w:tc>
        <w:tc>
          <w:tcPr>
            <w:tcW w:type="dxa" w:w="2268"/>
          </w:tcPr>
          <w:p>
            <w:r>
              <w:rPr>
                <w:rFonts w:ascii="Times New Roman" w:hAnsi="Times New Roman"/>
                <w:sz w:val="20"/>
              </w:rPr>
              <w:t>Helvetica-Überweisung, evtl. erst Folgemonat sichtbar</w:t>
            </w:r>
          </w:p>
        </w:tc>
      </w:tr>
    </w:tbl>
    <w:p>
      <w:pPr>
        <w:jc w:val="left"/>
      </w:pPr>
      <w:r>
        <w:t>Der Saldenabgleich ist für Vermögensverzeichnis, Rechnungslegung und mögliche Rückforderungsmaßnahmen vorgreiflich. Ohne Bankbestätigung sollte aus den PDFs kein endgültiger Vermögensstand übernommen werden.</w:t>
      </w:r>
    </w:p>
    <w:p>
      <w:pPr>
        <w:pStyle w:val="Heading2"/>
      </w:pPr>
      <w:r>
        <w:rPr>
          <w:rFonts w:ascii="Times New Roman" w:hAnsi="Times New Roman"/>
        </w:rPr>
        <w:t>Entwurf: Rückfrage an Bank</w:t>
      </w:r>
    </w:p>
    <w:p>
      <w:pPr>
        <w:jc w:val="left"/>
      </w:pPr>
      <w:r>
        <w:t>Sehr geehrte Damen und Herren,</w:t>
      </w:r>
    </w:p>
    <w:p>
      <w:pPr>
        <w:jc w:val="left"/>
      </w:pPr>
      <w:r>
        <w:t>unter Vorlage des Betreuerausweises bitte ich für Herrn Herbert Wilhelm Schmalfeld, geboren am 14.03.1941, um Auskunft und Sicherungsmaßnahmen zu dem oben genannten Konto.</w:t>
      </w:r>
    </w:p>
    <w:p>
      <w:pPr>
        <w:jc w:val="left"/>
      </w:pPr>
      <w:r>
        <w:t>Bitte teilen Sie mit:</w:t>
      </w:r>
    </w:p>
    <w:p>
      <w:pPr>
        <w:pStyle w:val="ListNumber"/>
      </w:pPr>
      <w:r>
        <w:t>welche Onlinebanking-Zugänge und TAN-Verfahren seit dem 01.01.2023 aktiv waren,</w:t>
      </w:r>
    </w:p>
    <w:p>
      <w:pPr>
        <w:pStyle w:val="ListNumber"/>
      </w:pPr>
      <w:r>
        <w:t>welche Geräte oder Mobilnummern für TAN-Verfahren hinterlegt wurden,</w:t>
      </w:r>
    </w:p>
    <w:p>
      <w:pPr>
        <w:pStyle w:val="ListNumber"/>
      </w:pPr>
      <w:r>
        <w:t>ob Vollmachten oder Mitbenutzungen eingetragen wurden,</w:t>
      </w:r>
    </w:p>
    <w:p>
      <w:pPr>
        <w:pStyle w:val="ListNumber"/>
      </w:pPr>
      <w:r>
        <w:t>welche SEPA-Mandatsreferenzen zu den genannten Lastschriften vorliegen,</w:t>
      </w:r>
    </w:p>
    <w:p>
      <w:pPr>
        <w:pStyle w:val="ListNumber"/>
      </w:pPr>
      <w:r>
        <w:t>ob für die beigefügten Auslandsüberweisungen ein Recall möglich ist,</w:t>
      </w:r>
    </w:p>
    <w:p>
      <w:pPr>
        <w:pStyle w:val="ListNumber"/>
      </w:pPr>
      <w:r>
        <w:t>ob die Monatsanfangs- und Monatsendsalden 2023 bis 2025 bankseitig bestätigt werden können.</w:t>
      </w:r>
    </w:p>
    <w:p>
      <w:pPr>
        <w:jc w:val="left"/>
      </w:pPr>
      <w:r>
        <w:t>Bis zur Klärung bitte ich vorsorglich um erhöhte Aufmerksamkeit bei neuen Auslandsüberweisungen und um telefonische Rücksprache vor Freigabe ungewöhnlicher Zahlungsaufträge.</w:t>
      </w:r>
    </w:p>
    <w:p>
      <w:pPr>
        <w:jc w:val="left"/>
      </w:pPr>
      <w:r>
        <w:t>Mit freundlichen Grüßen</w:t>
      </w:r>
    </w:p>
    <w:p>
      <w:pPr>
        <w:jc w:val="left"/>
      </w:pPr>
      <w:r>
        <w:t>Dr. Marita Goldstein</w:t>
      </w:r>
    </w:p>
    <w:p>
      <w:pPr>
        <w:pStyle w:val="Heading2"/>
      </w:pPr>
      <w:r>
        <w:rPr>
          <w:rFonts w:ascii="Times New Roman" w:hAnsi="Times New Roman"/>
        </w:rPr>
        <w:t>Arbeitsvermerk</w:t>
      </w:r>
    </w:p>
    <w:p>
      <w:pPr>
        <w:jc w:val="left"/>
      </w:pPr>
      <w:r>
        <w:t>Nicht alle Zahlungen sind verdächtig. Miete, Pflege, Krankenversicherung, Energie und Telefon laufen weitgehend plausibel. Die Bankrückfrage soll deshalb eng geführt werden: Schutz vor weiterem Schaden, aber keine pauschale Kontoblockade, die laufende Lebensführung gefährdet.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