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Telefonakquise, Haustürkontakte und Gedächtnisprotokolle</w:t>
      </w:r>
    </w:p>
    <w:p>
      <w:pPr>
        <w:jc w:val="left"/>
      </w:pPr>
      <w:r>
        <w:rPr>
          <w:b/>
        </w:rPr>
        <w:t>Stand:</w:t>
      </w:r>
      <w:r>
        <w:t xml:space="preserve"> 30.05.2026</w:t>
      </w:r>
    </w:p>
    <w:p>
      <w:pPr>
        <w:jc w:val="left"/>
      </w:pPr>
      <w:r>
        <w:rPr>
          <w:b/>
        </w:rPr>
        <w:t>Quelle:</w:t>
      </w:r>
      <w:r>
        <w:t xml:space="preserve"> Wohnungsfund, Gespräch mit Herrn Schmalfeld, Gespräch mit Frau Petrova, handschriftliche Notizen auf Werbeflyern</w:t>
      </w:r>
    </w:p>
    <w:p>
      <w:pPr>
        <w:pStyle w:val="Heading2"/>
      </w:pPr>
      <w:r>
        <w:rPr>
          <w:rFonts w:ascii="Times New Roman" w:hAnsi="Times New Roman"/>
        </w:rPr>
        <w:t>Chronologie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Datum</w:t>
            </w:r>
          </w:p>
        </w:tc>
        <w:tc>
          <w:tcPr>
            <w:tcW w:type="dxa" w:w="1814"/>
          </w:tcPr>
          <w:p>
            <w:r>
              <w:rPr>
                <w:rFonts w:ascii="Times New Roman" w:hAnsi="Times New Roman"/>
                <w:b/>
                <w:sz w:val="20"/>
              </w:rPr>
              <w:t>Kontakt</w:t>
            </w:r>
          </w:p>
        </w:tc>
        <w:tc>
          <w:tcPr>
            <w:tcW w:type="dxa" w:w="1814"/>
          </w:tcPr>
          <w:p>
            <w:r>
              <w:rPr>
                <w:rFonts w:ascii="Times New Roman" w:hAnsi="Times New Roman"/>
                <w:b/>
                <w:sz w:val="20"/>
              </w:rPr>
              <w:t>Fundstück</w:t>
            </w:r>
          </w:p>
        </w:tc>
        <w:tc>
          <w:tcPr>
            <w:tcW w:type="dxa" w:w="1814"/>
          </w:tcPr>
          <w:p>
            <w:r>
              <w:rPr>
                <w:rFonts w:ascii="Times New Roman" w:hAnsi="Times New Roman"/>
                <w:b/>
                <w:sz w:val="20"/>
              </w:rPr>
              <w:t>Erinnerung Herr Schmalfeld</w:t>
            </w:r>
          </w:p>
        </w:tc>
        <w:tc>
          <w:tcPr>
            <w:tcW w:type="dxa" w:w="1814"/>
          </w:tcPr>
          <w:p>
            <w:r>
              <w:rPr>
                <w:rFonts w:ascii="Times New Roman" w:hAnsi="Times New Roman"/>
                <w:b/>
                <w:sz w:val="20"/>
              </w:rPr>
              <w:t>Prüfproblem</w:t>
            </w:r>
          </w:p>
        </w:tc>
      </w:tr>
      <w:tr>
        <w:tc>
          <w:tcPr>
            <w:tcW w:type="dxa" w:w="1814"/>
          </w:tcPr>
          <w:p>
            <w:r>
              <w:rPr>
                <w:rFonts w:ascii="Times New Roman" w:hAnsi="Times New Roman"/>
                <w:sz w:val="20"/>
              </w:rPr>
              <w:t>17.02.2023</w:t>
            </w:r>
          </w:p>
        </w:tc>
        <w:tc>
          <w:tcPr>
            <w:tcW w:type="dxa" w:w="1814"/>
          </w:tcPr>
          <w:p>
            <w:r>
              <w:rPr>
                <w:rFonts w:ascii="Times New Roman" w:hAnsi="Times New Roman"/>
                <w:sz w:val="20"/>
              </w:rPr>
              <w:t>VitalPlus Gesundheitsprodukte GmbH</w:t>
            </w:r>
          </w:p>
        </w:tc>
        <w:tc>
          <w:tcPr>
            <w:tcW w:type="dxa" w:w="1814"/>
          </w:tcPr>
          <w:p>
            <w:r>
              <w:rPr>
                <w:rFonts w:ascii="Times New Roman" w:hAnsi="Times New Roman"/>
                <w:sz w:val="20"/>
              </w:rPr>
              <w:t>Flyer "Rückenabend im Hotel Lützow" mit Kugelschreibernotiz</w:t>
            </w:r>
          </w:p>
        </w:tc>
        <w:tc>
          <w:tcPr>
            <w:tcW w:type="dxa" w:w="1814"/>
          </w:tcPr>
          <w:p>
            <w:r>
              <w:rPr>
                <w:rFonts w:ascii="Times New Roman" w:hAnsi="Times New Roman"/>
                <w:sz w:val="20"/>
              </w:rPr>
              <w:t>"Da gab es Kaffee, ich wollte nur zuhören."</w:t>
            </w:r>
          </w:p>
        </w:tc>
        <w:tc>
          <w:tcPr>
            <w:tcW w:type="dxa" w:w="1814"/>
          </w:tcPr>
          <w:p>
            <w:r>
              <w:rPr>
                <w:rFonts w:ascii="Times New Roman" w:hAnsi="Times New Roman"/>
                <w:sz w:val="20"/>
              </w:rPr>
              <w:t>Haustür-/Auswärtsveranstaltung, Widerrufsbelehrung, Lieferung</w:t>
            </w:r>
          </w:p>
        </w:tc>
      </w:tr>
      <w:tr>
        <w:tc>
          <w:tcPr>
            <w:tcW w:type="dxa" w:w="1814"/>
          </w:tcPr>
          <w:p>
            <w:r>
              <w:rPr>
                <w:rFonts w:ascii="Times New Roman" w:hAnsi="Times New Roman"/>
                <w:sz w:val="20"/>
              </w:rPr>
              <w:t>20.03.2023</w:t>
            </w:r>
          </w:p>
        </w:tc>
        <w:tc>
          <w:tcPr>
            <w:tcW w:type="dxa" w:w="1814"/>
          </w:tcPr>
          <w:p>
            <w:r>
              <w:rPr>
                <w:rFonts w:ascii="Times New Roman" w:hAnsi="Times New Roman"/>
                <w:sz w:val="20"/>
              </w:rPr>
              <w:t>"Europol Sicherheitsdienst"</w:t>
            </w:r>
          </w:p>
        </w:tc>
        <w:tc>
          <w:tcPr>
            <w:tcW w:type="dxa" w:w="1814"/>
          </w:tcPr>
          <w:p>
            <w:r>
              <w:rPr>
                <w:rFonts w:ascii="Times New Roman" w:hAnsi="Times New Roman"/>
                <w:sz w:val="20"/>
              </w:rPr>
              <w:t>Überweisung 6.386,59 EUR, kein Vertrag</w:t>
            </w:r>
          </w:p>
        </w:tc>
        <w:tc>
          <w:tcPr>
            <w:tcW w:type="dxa" w:w="1814"/>
          </w:tcPr>
          <w:p>
            <w:r>
              <w:rPr>
                <w:rFonts w:ascii="Times New Roman" w:hAnsi="Times New Roman"/>
                <w:sz w:val="20"/>
              </w:rPr>
              <w:t>"Die sagten, mein Konto sei in Gefahr."</w:t>
            </w:r>
          </w:p>
        </w:tc>
        <w:tc>
          <w:tcPr>
            <w:tcW w:type="dxa" w:w="1814"/>
          </w:tcPr>
          <w:p>
            <w:r>
              <w:rPr>
                <w:rFonts w:ascii="Times New Roman" w:hAnsi="Times New Roman"/>
                <w:sz w:val="20"/>
              </w:rPr>
              <w:t>Betrugsverdacht, Bankwarnung, Erinnerungszuverlässigkeit</w:t>
            </w:r>
          </w:p>
        </w:tc>
      </w:tr>
      <w:tr>
        <w:tc>
          <w:tcPr>
            <w:tcW w:type="dxa" w:w="1814"/>
          </w:tcPr>
          <w:p>
            <w:r>
              <w:rPr>
                <w:rFonts w:ascii="Times New Roman" w:hAnsi="Times New Roman"/>
                <w:sz w:val="20"/>
              </w:rPr>
              <w:t>22.06.2023</w:t>
            </w:r>
          </w:p>
        </w:tc>
        <w:tc>
          <w:tcPr>
            <w:tcW w:type="dxa" w:w="1814"/>
          </w:tcPr>
          <w:p>
            <w:r>
              <w:rPr>
                <w:rFonts w:ascii="Times New Roman" w:hAnsi="Times New Roman"/>
                <w:sz w:val="20"/>
              </w:rPr>
              <w:t>PC-Doktor Nordost GmbH</w:t>
            </w:r>
          </w:p>
        </w:tc>
        <w:tc>
          <w:tcPr>
            <w:tcW w:type="dxa" w:w="1814"/>
          </w:tcPr>
          <w:p>
            <w:r>
              <w:rPr>
                <w:rFonts w:ascii="Times New Roman" w:hAnsi="Times New Roman"/>
                <w:sz w:val="20"/>
              </w:rPr>
              <w:t>Servicekarte, Fernwartungsvertrag, Monatslastschrift</w:t>
            </w:r>
          </w:p>
        </w:tc>
        <w:tc>
          <w:tcPr>
            <w:tcW w:type="dxa" w:w="1814"/>
          </w:tcPr>
          <w:p>
            <w:r>
              <w:rPr>
                <w:rFonts w:ascii="Times New Roman" w:hAnsi="Times New Roman"/>
                <w:sz w:val="20"/>
              </w:rPr>
              <w:t>"Der Mann hat den Drucker repariert."</w:t>
            </w:r>
          </w:p>
        </w:tc>
        <w:tc>
          <w:tcPr>
            <w:tcW w:type="dxa" w:w="1814"/>
          </w:tcPr>
          <w:p>
            <w:r>
              <w:rPr>
                <w:rFonts w:ascii="Times New Roman" w:hAnsi="Times New Roman"/>
                <w:sz w:val="20"/>
              </w:rPr>
              <w:t>Fernzugriff, Onlinebanking, Leistungsnachweis</w:t>
            </w:r>
          </w:p>
        </w:tc>
      </w:tr>
      <w:tr>
        <w:tc>
          <w:tcPr>
            <w:tcW w:type="dxa" w:w="1814"/>
          </w:tcPr>
          <w:p>
            <w:r>
              <w:rPr>
                <w:rFonts w:ascii="Times New Roman" w:hAnsi="Times New Roman"/>
                <w:sz w:val="20"/>
              </w:rPr>
              <w:t>18.09.2024</w:t>
            </w:r>
          </w:p>
        </w:tc>
        <w:tc>
          <w:tcPr>
            <w:tcW w:type="dxa" w:w="1814"/>
          </w:tcPr>
          <w:p>
            <w:r>
              <w:rPr>
                <w:rFonts w:ascii="Times New Roman" w:hAnsi="Times New Roman"/>
                <w:sz w:val="20"/>
              </w:rPr>
              <w:t>Premium-Kontakte AG</w:t>
            </w:r>
          </w:p>
        </w:tc>
        <w:tc>
          <w:tcPr>
            <w:tcW w:type="dxa" w:w="1814"/>
          </w:tcPr>
          <w:p>
            <w:r>
              <w:rPr>
                <w:rFonts w:ascii="Times New Roman" w:hAnsi="Times New Roman"/>
                <w:sz w:val="20"/>
              </w:rPr>
              <w:t>Willkommensbrief, AGB-Auszug</w:t>
            </w:r>
          </w:p>
        </w:tc>
        <w:tc>
          <w:tcPr>
            <w:tcW w:type="dxa" w:w="1814"/>
          </w:tcPr>
          <w:p>
            <w:r>
              <w:rPr>
                <w:rFonts w:ascii="Times New Roman" w:hAnsi="Times New Roman"/>
                <w:sz w:val="20"/>
              </w:rPr>
              <w:t>"Freizeitgruppe, vielleicht Tanztee."</w:t>
            </w:r>
          </w:p>
        </w:tc>
        <w:tc>
          <w:tcPr>
            <w:tcW w:type="dxa" w:w="1814"/>
          </w:tcPr>
          <w:p>
            <w:r>
              <w:rPr>
                <w:rFonts w:ascii="Times New Roman" w:hAnsi="Times New Roman"/>
                <w:sz w:val="20"/>
              </w:rPr>
              <w:t>Telefonvertrag, Kostenpflicht, Widerruf, Kündigung</w:t>
            </w:r>
          </w:p>
        </w:tc>
      </w:tr>
      <w:tr>
        <w:tc>
          <w:tcPr>
            <w:tcW w:type="dxa" w:w="1814"/>
          </w:tcPr>
          <w:p>
            <w:r>
              <w:rPr>
                <w:rFonts w:ascii="Times New Roman" w:hAnsi="Times New Roman"/>
                <w:sz w:val="20"/>
              </w:rPr>
              <w:t>11.08.2024</w:t>
            </w:r>
          </w:p>
        </w:tc>
        <w:tc>
          <w:tcPr>
            <w:tcW w:type="dxa" w:w="1814"/>
          </w:tcPr>
          <w:p>
            <w:r>
              <w:rPr>
                <w:rFonts w:ascii="Times New Roman" w:hAnsi="Times New Roman"/>
                <w:sz w:val="20"/>
              </w:rPr>
              <w:t>Horizon Property Development S.L.</w:t>
            </w:r>
          </w:p>
        </w:tc>
        <w:tc>
          <w:tcPr>
            <w:tcW w:type="dxa" w:w="1814"/>
          </w:tcPr>
          <w:p>
            <w:r>
              <w:rPr>
                <w:rFonts w:ascii="Times New Roman" w:hAnsi="Times New Roman"/>
                <w:sz w:val="20"/>
              </w:rPr>
              <w:t>Reservierung Costa Blanca, E-Mail-Ausdruck</w:t>
            </w:r>
          </w:p>
        </w:tc>
        <w:tc>
          <w:tcPr>
            <w:tcW w:type="dxa" w:w="1814"/>
          </w:tcPr>
          <w:p>
            <w:r>
              <w:rPr>
                <w:rFonts w:ascii="Times New Roman" w:hAnsi="Times New Roman"/>
                <w:sz w:val="20"/>
              </w:rPr>
              <w:t>"Das war nur Prospekt, nichts gekauft."</w:t>
            </w:r>
          </w:p>
        </w:tc>
        <w:tc>
          <w:tcPr>
            <w:tcW w:type="dxa" w:w="1814"/>
          </w:tcPr>
          <w:p>
            <w:r>
              <w:rPr>
                <w:rFonts w:ascii="Times New Roman" w:hAnsi="Times New Roman"/>
                <w:sz w:val="20"/>
              </w:rPr>
              <w:t>Auslandszahlung, Rückforderung, Existenz des Objekts</w:t>
            </w:r>
          </w:p>
        </w:tc>
      </w:tr>
      <w:tr>
        <w:tc>
          <w:tcPr>
            <w:tcW w:type="dxa" w:w="1814"/>
          </w:tcPr>
          <w:p>
            <w:r>
              <w:rPr>
                <w:rFonts w:ascii="Times New Roman" w:hAnsi="Times New Roman"/>
                <w:sz w:val="20"/>
              </w:rPr>
              <w:t>05.01.2025</w:t>
            </w:r>
          </w:p>
        </w:tc>
        <w:tc>
          <w:tcPr>
            <w:tcW w:type="dxa" w:w="1814"/>
          </w:tcPr>
          <w:p>
            <w:r>
              <w:rPr>
                <w:rFonts w:ascii="Times New Roman" w:hAnsi="Times New Roman"/>
                <w:sz w:val="20"/>
              </w:rPr>
              <w:t>"Europol Sicherheitsdienst"</w:t>
            </w:r>
          </w:p>
        </w:tc>
        <w:tc>
          <w:tcPr>
            <w:tcW w:type="dxa" w:w="1814"/>
          </w:tcPr>
          <w:p>
            <w:r>
              <w:rPr>
                <w:rFonts w:ascii="Times New Roman" w:hAnsi="Times New Roman"/>
                <w:sz w:val="20"/>
              </w:rPr>
              <w:t>Überweisung 6.802,41 EUR</w:t>
            </w:r>
          </w:p>
        </w:tc>
        <w:tc>
          <w:tcPr>
            <w:tcW w:type="dxa" w:w="1814"/>
          </w:tcPr>
          <w:p>
            <w:r>
              <w:rPr>
                <w:rFonts w:ascii="Times New Roman" w:hAnsi="Times New Roman"/>
                <w:sz w:val="20"/>
              </w:rPr>
              <w:t>"Da war schon wieder eine Warnung."</w:t>
            </w:r>
          </w:p>
        </w:tc>
        <w:tc>
          <w:tcPr>
            <w:tcW w:type="dxa" w:w="1814"/>
          </w:tcPr>
          <w:p>
            <w:r>
              <w:rPr>
                <w:rFonts w:ascii="Times New Roman" w:hAnsi="Times New Roman"/>
                <w:sz w:val="20"/>
              </w:rPr>
              <w:t>Wiederholung trotz Vorfall, Schutzlücke</w:t>
            </w:r>
          </w:p>
        </w:tc>
      </w:tr>
      <w:tr>
        <w:tc>
          <w:tcPr>
            <w:tcW w:type="dxa" w:w="1814"/>
          </w:tcPr>
          <w:p>
            <w:r>
              <w:rPr>
                <w:rFonts w:ascii="Times New Roman" w:hAnsi="Times New Roman"/>
                <w:sz w:val="20"/>
              </w:rPr>
              <w:t>10.02.2025</w:t>
            </w:r>
          </w:p>
        </w:tc>
        <w:tc>
          <w:tcPr>
            <w:tcW w:type="dxa" w:w="1814"/>
          </w:tcPr>
          <w:p>
            <w:r>
              <w:rPr>
                <w:rFonts w:ascii="Times New Roman" w:hAnsi="Times New Roman"/>
                <w:sz w:val="20"/>
              </w:rPr>
              <w:t>SafeGold Edelmetallhandel GmbH</w:t>
            </w:r>
          </w:p>
        </w:tc>
        <w:tc>
          <w:tcPr>
            <w:tcW w:type="dxa" w:w="1814"/>
          </w:tcPr>
          <w:p>
            <w:r>
              <w:rPr>
                <w:rFonts w:ascii="Times New Roman" w:hAnsi="Times New Roman"/>
                <w:sz w:val="20"/>
              </w:rPr>
              <w:t>Goldsparplan, Lagerzertifikat "Sammelverwahrung"</w:t>
            </w:r>
          </w:p>
        </w:tc>
        <w:tc>
          <w:tcPr>
            <w:tcW w:type="dxa" w:w="1814"/>
          </w:tcPr>
          <w:p>
            <w:r>
              <w:rPr>
                <w:rFonts w:ascii="Times New Roman" w:hAnsi="Times New Roman"/>
                <w:sz w:val="20"/>
              </w:rPr>
              <w:t>"Gold ist sicherer als die Bank."</w:t>
            </w:r>
          </w:p>
        </w:tc>
        <w:tc>
          <w:tcPr>
            <w:tcW w:type="dxa" w:w="1814"/>
          </w:tcPr>
          <w:p>
            <w:r>
              <w:rPr>
                <w:rFonts w:ascii="Times New Roman" w:hAnsi="Times New Roman"/>
                <w:sz w:val="20"/>
              </w:rPr>
              <w:t>Eigentumserwerb, Verwahrung, Rückgabe</w:t>
            </w:r>
          </w:p>
        </w:tc>
      </w:tr>
    </w:tbl>
    <w:p>
      <w:pPr>
        <w:pStyle w:val="Heading2"/>
      </w:pPr>
      <w:r>
        <w:rPr>
          <w:rFonts w:ascii="Times New Roman" w:hAnsi="Times New Roman"/>
        </w:rPr>
        <w:t>Gedächtnisprotokoll Herr Schmalfeld</w:t>
      </w:r>
    </w:p>
    <w:p>
      <w:pPr>
        <w:jc w:val="left"/>
      </w:pPr>
      <w:r>
        <w:t>Herr Schmalfeld wirkt im Gespräch höflich, aber sehr bemüht, nichts "falsch" zu sagen. Bei den Alltagsverträgen kann er Miete, Strom und Telefon grob einordnen. Bei Verträgen, die telefonisch oder auf Veranstaltungen angebahnt wurden, erinnert er sich eher an Personen, Tonfall und Versprechen als an Beträge.</w:t>
      </w:r>
    </w:p>
    <w:p>
      <w:pPr>
        <w:jc w:val="left"/>
      </w:pPr>
      <w:r>
        <w:t>Wörtliche Notizen aus dem Gespräch:</w:t>
      </w:r>
    </w:p>
    <w:p>
      <w:pPr>
        <w:pStyle w:val="ListBullet"/>
      </w:pPr>
      <w:r>
        <w:t>"Die waren sehr amtlich am Telefon, ich wollte keinen Ärger."</w:t>
      </w:r>
    </w:p>
    <w:p>
      <w:pPr>
        <w:pStyle w:val="ListBullet"/>
      </w:pPr>
      <w:r>
        <w:t>"Der Computer hat so rote Fenster gezeigt, dann sollte ich den Mann dranlassen."</w:t>
      </w:r>
    </w:p>
    <w:p>
      <w:pPr>
        <w:pStyle w:val="ListBullet"/>
      </w:pPr>
      <w:r>
        <w:t>"Spanien war eigentlich nur schön anzusehen. Ich habe nicht gedacht, dass das gleich Geld kostet."</w:t>
      </w:r>
    </w:p>
    <w:p>
      <w:pPr>
        <w:pStyle w:val="ListBullet"/>
      </w:pPr>
      <w:r>
        <w:t>"Frau Petrova hilft wirklich. Da will ich keinen Streit."</w:t>
      </w:r>
    </w:p>
    <w:p>
      <w:pPr>
        <w:pStyle w:val="ListBullet"/>
      </w:pPr>
      <w:r>
        <w:t>"Gold hat mein Vater schon gesagt, das ist nicht weg, wenn Papier weg ist."</w:t>
      </w:r>
    </w:p>
    <w:p>
      <w:pPr>
        <w:jc w:val="left"/>
      </w:pPr>
      <w:r>
        <w:t>Die Aussagen sprechen weder automatisch für Geschäftsunfähigkeit noch gegen sie. Sie zeigen aber, dass die Vertragssituationen stark über Autorität, Angst, Hilfeversprechen und persönliche Ansprache liefen.</w:t>
      </w:r>
    </w:p>
    <w:p>
      <w:pPr>
        <w:pStyle w:val="Heading2"/>
      </w:pPr>
      <w:r>
        <w:rPr>
          <w:rFonts w:ascii="Times New Roman" w:hAnsi="Times New Roman"/>
        </w:rPr>
        <w:t>Gespräch Frau Svetlana Petrova</w:t>
      </w:r>
    </w:p>
    <w:p>
      <w:pPr>
        <w:jc w:val="left"/>
      </w:pPr>
      <w:r>
        <w:t>Frau Petrova erklärt telefonisch am 29.05.2026:</w:t>
      </w:r>
    </w:p>
    <w:p>
      <w:pPr>
        <w:pStyle w:val="ListBullet"/>
      </w:pPr>
      <w:r>
        <w:t>Sie helfe seit Frühjahr 2024 zweimal wöchentlich beim Einkaufen und bei der Wäsche.</w:t>
      </w:r>
    </w:p>
    <w:p>
      <w:pPr>
        <w:pStyle w:val="ListBullet"/>
      </w:pPr>
      <w:r>
        <w:t>Die Zahlungen von 500 EUR monatlich seien "für alles zusammen" gewesen.</w:t>
      </w:r>
    </w:p>
    <w:p>
      <w:pPr>
        <w:pStyle w:val="ListBullet"/>
      </w:pPr>
      <w:r>
        <w:t>Einen schriftlichen Vertrag gebe es nicht, Herr Schmalfeld habe das "nicht gewollt".</w:t>
      </w:r>
    </w:p>
    <w:p>
      <w:pPr>
        <w:pStyle w:val="ListBullet"/>
      </w:pPr>
      <w:r>
        <w:t>Sie habe keine Bankkarte und keine PIN.</w:t>
      </w:r>
    </w:p>
    <w:p>
      <w:pPr>
        <w:pStyle w:val="ListBullet"/>
      </w:pPr>
      <w:r>
        <w:t>Sie habe Herrn Schmalfeld einmal zu einer Veranstaltung im Gemeindehaus begleitet, dort sei es um "sicher wohnen und gesund schlafen" gegangen.</w:t>
      </w:r>
    </w:p>
    <w:p>
      <w:pPr>
        <w:jc w:val="left"/>
      </w:pPr>
      <w:r>
        <w:t>Bewertung im Arbeitsstand: Die Zahlungen an Frau Petrova sind belegbedürftig, aber nicht ohne Weiteres missbräuchlich. Es fehlen Leistungsnachweise, Absprachen, steuerliche Einordnung und Abgrenzung zu Pflege-/Haushaltshilfe. Zugleich könnte die Hilfe für die Lebensführung wichtig sein.</w:t>
      </w:r>
    </w:p>
    <w:p>
      <w:pPr>
        <w:pStyle w:val="Heading2"/>
      </w:pPr>
      <w:r>
        <w:rPr>
          <w:rFonts w:ascii="Times New Roman" w:hAnsi="Times New Roman"/>
        </w:rPr>
        <w:t>Gespräch Nachbar Klaus Kröger</w:t>
      </w:r>
    </w:p>
    <w:p>
      <w:pPr>
        <w:jc w:val="left"/>
      </w:pPr>
      <w:r>
        <w:t>Herr Kröger, Nachbar aus dem zweiten Obergeschoss, ruft am 30.05.2026 an:</w:t>
      </w:r>
    </w:p>
    <w:p>
      <w:pPr>
        <w:pStyle w:val="ListBullet"/>
      </w:pPr>
      <w:r>
        <w:t>Er habe "ab und zu" das Handy von Herrn Schmalfeld eingerichtet.</w:t>
      </w:r>
    </w:p>
    <w:p>
      <w:pPr>
        <w:pStyle w:val="ListBullet"/>
      </w:pPr>
      <w:r>
        <w:t>Er kenne PC-Doktor nicht.</w:t>
      </w:r>
    </w:p>
    <w:p>
      <w:pPr>
        <w:pStyle w:val="ListBullet"/>
      </w:pPr>
      <w:r>
        <w:t>Er habe nie eine TAN gesehen, aber "einmal so einen QR-Code von der Bank fotografiert, weil Herr Schmalfeld das Bild verwackelt hatte".</w:t>
      </w:r>
    </w:p>
    <w:p>
      <w:pPr>
        <w:pStyle w:val="ListBullet"/>
      </w:pPr>
      <w:r>
        <w:t>Er habe die Telefonnummer von Premium-Kontakte nicht vermittelt.</w:t>
      </w:r>
    </w:p>
    <w:p>
      <w:pPr>
        <w:jc w:val="left"/>
      </w:pPr>
      <w:r>
        <w:t>Das Gespräch ist heikel. Herr Kröger kann hilfreich gewesen sein, könnte aber unbeabsichtigt Zugangsdaten gesehen haben. Kein Vorwurf ohne technische Bankdaten.</w:t>
      </w:r>
    </w:p>
    <w:p>
      <w:pPr>
        <w:pStyle w:val="Heading2"/>
      </w:pPr>
      <w:r>
        <w:rPr>
          <w:rFonts w:ascii="Times New Roman" w:hAnsi="Times New Roman"/>
        </w:rPr>
        <w:t>Handschriftliche Fundstücke</w:t>
      </w:r>
    </w:p>
    <w:p>
      <w:pPr>
        <w:pStyle w:val="ListNumber"/>
      </w:pPr>
      <w:r>
        <w:t>Gelber Zettel am Kühlschrank: "Nicht wieder Nummer 030 884..." daneben "Gold Herr Fellner Donnerstag".</w:t>
      </w:r>
    </w:p>
    <w:p>
      <w:pPr>
        <w:pStyle w:val="ListNumber"/>
      </w:pPr>
      <w:r>
        <w:t>Rückseite eines Hotel-Flyers: "Wenn heute unterschreiben, 20 % Seniorenbonus".</w:t>
      </w:r>
    </w:p>
    <w:p>
      <w:pPr>
        <w:pStyle w:val="ListNumber"/>
      </w:pPr>
      <w:r>
        <w:t>Briefumschlag Stadtsparkasse: "Code nur kurz gesagt, nicht aufschreiben".</w:t>
      </w:r>
    </w:p>
    <w:p>
      <w:pPr>
        <w:pStyle w:val="ListNumber"/>
      </w:pPr>
      <w:r>
        <w:t>Kassenbon Drogerie: "USB Stick für Fotos an Herrn K.?"</w:t>
      </w:r>
    </w:p>
    <w:p>
      <w:pPr>
        <w:pStyle w:val="Heading2"/>
      </w:pPr>
      <w:r>
        <w:rPr>
          <w:rFonts w:ascii="Times New Roman" w:hAnsi="Times New Roman"/>
        </w:rPr>
        <w:t>Arbeitspunkt für nächste Durchsicht</w:t>
      </w:r>
    </w:p>
    <w:p>
      <w:pPr>
        <w:jc w:val="left"/>
      </w:pPr>
      <w:r>
        <w:t>Die Akte muss nach Kontaktwegen sortiert werden:</w:t>
      </w:r>
    </w:p>
    <w:p>
      <w:pPr>
        <w:pStyle w:val="ListBullet"/>
      </w:pPr>
      <w:r>
        <w:t>amtlich wirkende Telefonkontakte,</w:t>
      </w:r>
    </w:p>
    <w:p>
      <w:pPr>
        <w:pStyle w:val="ListBullet"/>
      </w:pPr>
      <w:r>
        <w:t>echte Dienstleister,</w:t>
      </w:r>
    </w:p>
    <w:p>
      <w:pPr>
        <w:pStyle w:val="ListBullet"/>
      </w:pPr>
      <w:r>
        <w:t>Nachbarschafts-/Hilfeumfeld,</w:t>
      </w:r>
    </w:p>
    <w:p>
      <w:pPr>
        <w:pStyle w:val="ListBullet"/>
      </w:pPr>
      <w:r>
        <w:t>Vertrieb auf Veranstaltungen,</w:t>
      </w:r>
    </w:p>
    <w:p>
      <w:pPr>
        <w:pStyle w:val="ListBullet"/>
      </w:pPr>
      <w:r>
        <w:t>Anlagevertrieb,</w:t>
      </w:r>
    </w:p>
    <w:p>
      <w:pPr>
        <w:pStyle w:val="ListBullet"/>
      </w:pPr>
      <w:r>
        <w:t>unklare Vermittler.</w:t>
      </w:r>
    </w:p>
    <w:p>
      <w:pPr>
        <w:jc w:val="left"/>
      </w:pPr>
      <w:r>
        <w:t>Erst danach lässt sich entscheiden, welche Maßnahmen sofort laufen müssen und wo zunächst Auskunft genügt.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