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03 — Prüfungsdauer und Prüfungsschwerpunkte</w:t>
      </w:r>
    </w:p>
    <w:p>
      <w:pPr>
        <w:jc w:val="left"/>
      </w:pPr>
      <w:r>
        <w:rPr>
          <w:b/>
        </w:rPr>
        <w:t>Aktualisiert:</w:t>
      </w:r>
      <w:r>
        <w:t xml:space="preserve"> 10.03.2026</w:t>
      </w:r>
    </w:p>
    <w:p>
      <w:pPr>
        <w:jc w:val="left"/>
      </w:pPr>
      <w:r>
        <w:rPr>
          <w:b/>
        </w:rPr>
        <w:t>Autor:</w:t>
      </w:r>
      <w:r>
        <w:t xml:space="preserve"> StB Falk Roosendaal</w:t>
      </w:r>
    </w:p>
    <w:p/>
    <w:p>
      <w:pPr>
        <w:pStyle w:val="Heading2"/>
      </w:pPr>
      <w:r>
        <w:rPr>
          <w:rFonts w:ascii="Times New Roman" w:hAnsi="Times New Roman"/>
        </w:rPr>
        <w:t>Zeitplan der Prüfung</w:t>
      </w:r>
    </w:p>
    <w:tbl>
      <w:tblPr>
        <w:tblStyle w:val="TableGrid"/>
        <w:tblW w:type="auto" w:w="0"/>
        <w:tblLook w:firstColumn="1" w:firstRow="1" w:lastColumn="0" w:lastRow="0" w:noHBand="0" w:noVBand="1" w:val="04A0"/>
      </w:tblPr>
      <w:tblGrid>
        <w:gridCol w:w="3024"/>
        <w:gridCol w:w="3024"/>
        <w:gridCol w:w="3024"/>
      </w:tblGrid>
      <w:tr>
        <w:tc>
          <w:tcPr>
            <w:tcW w:type="dxa" w:w="3024"/>
          </w:tcPr>
          <w:p>
            <w:r>
              <w:rPr>
                <w:rFonts w:ascii="Times New Roman" w:hAnsi="Times New Roman"/>
                <w:b/>
                <w:sz w:val="20"/>
              </w:rPr>
              <w:t>Phase</w:t>
            </w:r>
          </w:p>
        </w:tc>
        <w:tc>
          <w:tcPr>
            <w:tcW w:type="dxa" w:w="3024"/>
          </w:tcPr>
          <w:p>
            <w:r>
              <w:rPr>
                <w:rFonts w:ascii="Times New Roman" w:hAnsi="Times New Roman"/>
                <w:b/>
                <w:sz w:val="20"/>
              </w:rPr>
              <w:t>Zeitraum</w:t>
            </w:r>
          </w:p>
        </w:tc>
        <w:tc>
          <w:tcPr>
            <w:tcW w:type="dxa" w:w="3024"/>
          </w:tcPr>
          <w:p>
            <w:r>
              <w:rPr>
                <w:rFonts w:ascii="Times New Roman" w:hAnsi="Times New Roman"/>
                <w:b/>
                <w:sz w:val="20"/>
              </w:rPr>
              <w:t>Inhalt</w:t>
            </w:r>
          </w:p>
        </w:tc>
      </w:tr>
      <w:tr>
        <w:tc>
          <w:tcPr>
            <w:tcW w:type="dxa" w:w="3024"/>
          </w:tcPr>
          <w:p>
            <w:r>
              <w:rPr>
                <w:rFonts w:ascii="Times New Roman" w:hAnsi="Times New Roman"/>
                <w:sz w:val="20"/>
              </w:rPr>
              <w:t>Vorbereitungsphase</w:t>
            </w:r>
          </w:p>
        </w:tc>
        <w:tc>
          <w:tcPr>
            <w:tcW w:type="dxa" w:w="3024"/>
          </w:tcPr>
          <w:p>
            <w:r>
              <w:rPr>
                <w:rFonts w:ascii="Times New Roman" w:hAnsi="Times New Roman"/>
                <w:sz w:val="20"/>
              </w:rPr>
              <w:t>04.02.–15.03.2026</w:t>
            </w:r>
          </w:p>
        </w:tc>
        <w:tc>
          <w:tcPr>
            <w:tcW w:type="dxa" w:w="3024"/>
          </w:tcPr>
          <w:p>
            <w:r>
              <w:rPr>
                <w:rFonts w:ascii="Times New Roman" w:hAnsi="Times New Roman"/>
                <w:sz w:val="20"/>
              </w:rPr>
              <w:t>Unterlagensammlung, interne Analyse</w:t>
            </w:r>
          </w:p>
        </w:tc>
      </w:tr>
      <w:tr>
        <w:tc>
          <w:tcPr>
            <w:tcW w:type="dxa" w:w="3024"/>
          </w:tcPr>
          <w:p>
            <w:r>
              <w:rPr>
                <w:rFonts w:ascii="Times New Roman" w:hAnsi="Times New Roman"/>
                <w:sz w:val="20"/>
              </w:rPr>
              <w:t>Prüfungsbeginn</w:t>
            </w:r>
          </w:p>
        </w:tc>
        <w:tc>
          <w:tcPr>
            <w:tcW w:type="dxa" w:w="3024"/>
          </w:tcPr>
          <w:p>
            <w:r>
              <w:rPr>
                <w:rFonts w:ascii="Times New Roman" w:hAnsi="Times New Roman"/>
                <w:sz w:val="20"/>
              </w:rPr>
              <w:t>16.03.2026</w:t>
            </w:r>
          </w:p>
        </w:tc>
        <w:tc>
          <w:tcPr>
            <w:tcW w:type="dxa" w:w="3024"/>
          </w:tcPr>
          <w:p>
            <w:r>
              <w:rPr>
                <w:rFonts w:ascii="Times New Roman" w:hAnsi="Times New Roman"/>
                <w:sz w:val="20"/>
              </w:rPr>
              <w:t>Eröffnungsgespräch mit Prüfer Kelterbaum</w:t>
            </w:r>
          </w:p>
        </w:tc>
      </w:tr>
      <w:tr>
        <w:tc>
          <w:tcPr>
            <w:tcW w:type="dxa" w:w="3024"/>
          </w:tcPr>
          <w:p>
            <w:r>
              <w:rPr>
                <w:rFonts w:ascii="Times New Roman" w:hAnsi="Times New Roman"/>
                <w:sz w:val="20"/>
              </w:rPr>
              <w:t>Sachprüfung I (Ertragsteuern)</w:t>
            </w:r>
          </w:p>
        </w:tc>
        <w:tc>
          <w:tcPr>
            <w:tcW w:type="dxa" w:w="3024"/>
          </w:tcPr>
          <w:p>
            <w:r>
              <w:rPr>
                <w:rFonts w:ascii="Times New Roman" w:hAnsi="Times New Roman"/>
                <w:sz w:val="20"/>
              </w:rPr>
              <w:t>16.03.–14.04.2026</w:t>
            </w:r>
          </w:p>
        </w:tc>
        <w:tc>
          <w:tcPr>
            <w:tcW w:type="dxa" w:w="3024"/>
          </w:tcPr>
          <w:p>
            <w:r>
              <w:rPr>
                <w:rFonts w:ascii="Times New Roman" w:hAnsi="Times New Roman"/>
                <w:sz w:val="20"/>
              </w:rPr>
              <w:t>Pkw, Wohnung, Fremdvergleich</w:t>
            </w:r>
          </w:p>
        </w:tc>
      </w:tr>
      <w:tr>
        <w:tc>
          <w:tcPr>
            <w:tcW w:type="dxa" w:w="3024"/>
          </w:tcPr>
          <w:p>
            <w:r>
              <w:rPr>
                <w:rFonts w:ascii="Times New Roman" w:hAnsi="Times New Roman"/>
                <w:sz w:val="20"/>
              </w:rPr>
              <w:t>Sachprüfung II (Umsatzsteuer)</w:t>
            </w:r>
          </w:p>
        </w:tc>
        <w:tc>
          <w:tcPr>
            <w:tcW w:type="dxa" w:w="3024"/>
          </w:tcPr>
          <w:p>
            <w:r>
              <w:rPr>
                <w:rFonts w:ascii="Times New Roman" w:hAnsi="Times New Roman"/>
                <w:sz w:val="20"/>
              </w:rPr>
              <w:t>15.04.–30.04.2026</w:t>
            </w:r>
          </w:p>
        </w:tc>
        <w:tc>
          <w:tcPr>
            <w:tcW w:type="dxa" w:w="3024"/>
          </w:tcPr>
          <w:p>
            <w:r>
              <w:rPr>
                <w:rFonts w:ascii="Times New Roman" w:hAnsi="Times New Roman"/>
                <w:sz w:val="20"/>
              </w:rPr>
              <w:t>Vorsteuer Portugal, Auslandsleistungen</w:t>
            </w:r>
          </w:p>
        </w:tc>
      </w:tr>
      <w:tr>
        <w:tc>
          <w:tcPr>
            <w:tcW w:type="dxa" w:w="3024"/>
          </w:tcPr>
          <w:p>
            <w:r>
              <w:rPr>
                <w:rFonts w:ascii="Times New Roman" w:hAnsi="Times New Roman"/>
                <w:sz w:val="20"/>
              </w:rPr>
              <w:t>Sachprüfung III (International)</w:t>
            </w:r>
          </w:p>
        </w:tc>
        <w:tc>
          <w:tcPr>
            <w:tcW w:type="dxa" w:w="3024"/>
          </w:tcPr>
          <w:p>
            <w:r>
              <w:rPr>
                <w:rFonts w:ascii="Times New Roman" w:hAnsi="Times New Roman"/>
                <w:sz w:val="20"/>
              </w:rPr>
              <w:t>02.05.–30.05.2026</w:t>
            </w:r>
          </w:p>
        </w:tc>
        <w:tc>
          <w:tcPr>
            <w:tcW w:type="dxa" w:w="3024"/>
          </w:tcPr>
          <w:p>
            <w:r>
              <w:rPr>
                <w:rFonts w:ascii="Times New Roman" w:hAnsi="Times New Roman"/>
                <w:sz w:val="20"/>
              </w:rPr>
              <w:t>Luxemburg, AStG, Verrechnungspreise</w:t>
            </w:r>
          </w:p>
        </w:tc>
      </w:tr>
      <w:tr>
        <w:tc>
          <w:tcPr>
            <w:tcW w:type="dxa" w:w="3024"/>
          </w:tcPr>
          <w:p>
            <w:r>
              <w:rPr>
                <w:rFonts w:ascii="Times New Roman" w:hAnsi="Times New Roman"/>
                <w:sz w:val="20"/>
              </w:rPr>
              <w:t>Sachprüfung IV (GoBD/Kasse)</w:t>
            </w:r>
          </w:p>
        </w:tc>
        <w:tc>
          <w:tcPr>
            <w:tcW w:type="dxa" w:w="3024"/>
          </w:tcPr>
          <w:p>
            <w:r>
              <w:rPr>
                <w:rFonts w:ascii="Times New Roman" w:hAnsi="Times New Roman"/>
                <w:sz w:val="20"/>
              </w:rPr>
              <w:t>02.06.–15.06.2026</w:t>
            </w:r>
          </w:p>
        </w:tc>
        <w:tc>
          <w:tcPr>
            <w:tcW w:type="dxa" w:w="3024"/>
          </w:tcPr>
          <w:p>
            <w:r>
              <w:rPr>
                <w:rFonts w:ascii="Times New Roman" w:hAnsi="Times New Roman"/>
                <w:sz w:val="20"/>
              </w:rPr>
              <w:t>Kassenführung Filiale</w:t>
            </w:r>
          </w:p>
        </w:tc>
      </w:tr>
      <w:tr>
        <w:tc>
          <w:tcPr>
            <w:tcW w:type="dxa" w:w="3024"/>
          </w:tcPr>
          <w:p>
            <w:r>
              <w:rPr>
                <w:rFonts w:ascii="Times New Roman" w:hAnsi="Times New Roman"/>
                <w:sz w:val="20"/>
              </w:rPr>
              <w:t>Schlussrunde</w:t>
            </w:r>
          </w:p>
        </w:tc>
        <w:tc>
          <w:tcPr>
            <w:tcW w:type="dxa" w:w="3024"/>
          </w:tcPr>
          <w:p>
            <w:r>
              <w:rPr>
                <w:rFonts w:ascii="Times New Roman" w:hAnsi="Times New Roman"/>
                <w:sz w:val="20"/>
              </w:rPr>
              <w:t>16.06.–18.06.2026</w:t>
            </w:r>
          </w:p>
        </w:tc>
        <w:tc>
          <w:tcPr>
            <w:tcW w:type="dxa" w:w="3024"/>
          </w:tcPr>
          <w:p>
            <w:r>
              <w:rPr>
                <w:rFonts w:ascii="Times New Roman" w:hAnsi="Times New Roman"/>
                <w:sz w:val="20"/>
              </w:rPr>
              <w:t>Klärungsgespräche, letzte Akteneinsicht</w:t>
            </w:r>
          </w:p>
        </w:tc>
      </w:tr>
      <w:tr>
        <w:tc>
          <w:tcPr>
            <w:tcW w:type="dxa" w:w="3024"/>
          </w:tcPr>
          <w:p>
            <w:r>
              <w:rPr>
                <w:rFonts w:ascii="Times New Roman" w:hAnsi="Times New Roman"/>
                <w:sz w:val="20"/>
              </w:rPr>
              <w:t>Schlussbesprechung</w:t>
            </w:r>
          </w:p>
        </w:tc>
        <w:tc>
          <w:tcPr>
            <w:tcW w:type="dxa" w:w="3024"/>
          </w:tcPr>
          <w:p>
            <w:r>
              <w:rPr>
                <w:rFonts w:ascii="Times New Roman" w:hAnsi="Times New Roman"/>
                <w:sz w:val="20"/>
              </w:rPr>
              <w:t>18.06.2026</w:t>
            </w:r>
          </w:p>
        </w:tc>
        <w:tc>
          <w:tcPr>
            <w:tcW w:type="dxa" w:w="3024"/>
          </w:tcPr>
          <w:p>
            <w:r>
              <w:rPr>
                <w:rFonts w:ascii="Times New Roman" w:hAnsi="Times New Roman"/>
                <w:sz w:val="20"/>
              </w:rPr>
              <w:t>Ergebnisbesprechung § 201 AO</w:t>
            </w:r>
          </w:p>
        </w:tc>
      </w:tr>
      <w:tr>
        <w:tc>
          <w:tcPr>
            <w:tcW w:type="dxa" w:w="3024"/>
          </w:tcPr>
          <w:p>
            <w:r>
              <w:rPr>
                <w:rFonts w:ascii="Times New Roman" w:hAnsi="Times New Roman"/>
                <w:sz w:val="20"/>
              </w:rPr>
              <w:t>Prüfungsbericht</w:t>
            </w:r>
          </w:p>
        </w:tc>
        <w:tc>
          <w:tcPr>
            <w:tcW w:type="dxa" w:w="3024"/>
          </w:tcPr>
          <w:p>
            <w:r>
              <w:rPr>
                <w:rFonts w:ascii="Times New Roman" w:hAnsi="Times New Roman"/>
                <w:sz w:val="20"/>
              </w:rPr>
              <w:t>ca. August 2026</w:t>
            </w:r>
          </w:p>
        </w:tc>
        <w:tc>
          <w:tcPr>
            <w:tcW w:type="dxa" w:w="3024"/>
          </w:tcPr>
          <w:p>
            <w:r>
              <w:rPr>
                <w:rFonts w:ascii="Times New Roman" w:hAnsi="Times New Roman"/>
                <w:sz w:val="20"/>
              </w:rPr>
              <w:t>§ 202 AO</w:t>
            </w:r>
          </w:p>
        </w:tc>
      </w:tr>
    </w:tbl>
    <w:p/>
    <w:p>
      <w:pPr>
        <w:pStyle w:val="Heading2"/>
      </w:pPr>
      <w:r>
        <w:rPr>
          <w:rFonts w:ascii="Times New Roman" w:hAnsi="Times New Roman"/>
        </w:rPr>
        <w:t>Prüfungsschwerpunkte (mitgeteilt durch Prüfer Kelterbaum, 16.03.2026)</w:t>
      </w:r>
    </w:p>
    <w:p>
      <w:pPr>
        <w:jc w:val="left"/>
      </w:pPr>
      <w:r>
        <w:t>Prüfer Kelterbaum hat in der Eröffnungsbesprechung folgende Schwerpunkte genannt:</w:t>
      </w:r>
    </w:p>
    <w:p>
      <w:pPr>
        <w:pStyle w:val="Heading3"/>
      </w:pPr>
      <w:r>
        <w:rPr>
          <w:rFonts w:ascii="Times New Roman" w:hAnsi="Times New Roman"/>
        </w:rPr>
        <w:t>Schwerpunkt 1: Kraftfahrzeuge und Privatnutzung</w:t>
      </w:r>
    </w:p>
    <w:p>
      <w:pPr>
        <w:pStyle w:val="ListBullet"/>
      </w:pPr>
      <w:r>
        <w:t>Vollständige Prüfung des Pkw-Pools (7 Fahrzeuge)</w:t>
      </w:r>
    </w:p>
    <w:p>
      <w:pPr>
        <w:pStyle w:val="ListBullet"/>
      </w:pPr>
      <w:r>
        <w:t>Plausibilitätsprüfung 1%-Regelung vs. Fahrtenbuch (§ 6 Abs. 1 Nr. 4 EStG)</w:t>
      </w:r>
    </w:p>
    <w:p>
      <w:pPr>
        <w:pStyle w:val="ListBullet"/>
      </w:pPr>
      <w:r>
        <w:t>Jahreswert der Privatnutzung nach BFH-Rechtsprechung</w:t>
      </w:r>
    </w:p>
    <w:p>
      <w:pPr>
        <w:pStyle w:val="Heading3"/>
      </w:pPr>
      <w:r>
        <w:rPr>
          <w:rFonts w:ascii="Times New Roman" w:hAnsi="Times New Roman"/>
        </w:rPr>
        <w:t>Schwerpunkt 2: Auslandsbeziehungen</w:t>
      </w:r>
    </w:p>
    <w:p>
      <w:pPr>
        <w:pStyle w:val="ListBullet"/>
      </w:pPr>
      <w:r>
        <w:t>Marquardt Luxembourg S.à r.l. — Vertragsbeziehungen, Zahlungsflüsse, Substanznachweis</w:t>
      </w:r>
    </w:p>
    <w:p>
      <w:pPr>
        <w:pStyle w:val="ListBullet"/>
      </w:pPr>
      <w:r>
        <w:t>Prüfung § 50d Abs. 3 AStG (Missbrauchsbekämpfung)</w:t>
      </w:r>
    </w:p>
    <w:p>
      <w:pPr>
        <w:pStyle w:val="ListBullet"/>
      </w:pPr>
      <w:r>
        <w:t>Hinzurechnungsbesteuerung §§ 7–14 AStG</w:t>
      </w:r>
    </w:p>
    <w:p>
      <w:pPr>
        <w:pStyle w:val="Heading3"/>
      </w:pPr>
      <w:r>
        <w:rPr>
          <w:rFonts w:ascii="Times New Roman" w:hAnsi="Times New Roman"/>
        </w:rPr>
        <w:t>Schwerpunkt 3: Nahestehende Personen</w:t>
      </w:r>
    </w:p>
    <w:p>
      <w:pPr>
        <w:pStyle w:val="ListBullet"/>
      </w:pPr>
      <w:r>
        <w:t>Subunternehmervertrag Heinz Marquardt — Fremdvergleich § 8 Abs. 3 KStG</w:t>
      </w:r>
    </w:p>
    <w:p>
      <w:pPr>
        <w:pStyle w:val="ListBullet"/>
      </w:pPr>
      <w:r>
        <w:t>Wohnungsnutzung Sohn Stefan — vGA-Prüfung</w:t>
      </w:r>
    </w:p>
    <w:p>
      <w:pPr>
        <w:pStyle w:val="ListBullet"/>
      </w:pPr>
      <w:r>
        <w:t>Angemessenheitsnachweis für alle Geschäfte mit Angehörigen</w:t>
      </w:r>
    </w:p>
    <w:p>
      <w:pPr>
        <w:pStyle w:val="Heading3"/>
      </w:pPr>
      <w:r>
        <w:rPr>
          <w:rFonts w:ascii="Times New Roman" w:hAnsi="Times New Roman"/>
        </w:rPr>
        <w:t>Schwerpunkt 4: Umsatzsteuer / Vorsteuer</w:t>
      </w:r>
    </w:p>
    <w:p>
      <w:pPr>
        <w:pStyle w:val="ListBullet"/>
      </w:pPr>
      <w:r>
        <w:t>Portugal-Lieferung 2023: Rechnungsanforderungen § 14 UStG</w:t>
      </w:r>
    </w:p>
    <w:p>
      <w:pPr>
        <w:pStyle w:val="ListBullet"/>
      </w:pPr>
      <w:r>
        <w:t>Reverse-Charge-Prüfung Dienstleistungen aus dem EU-Ausland</w:t>
      </w:r>
    </w:p>
    <w:p>
      <w:pPr>
        <w:pStyle w:val="Heading3"/>
      </w:pPr>
      <w:r>
        <w:rPr>
          <w:rFonts w:ascii="Times New Roman" w:hAnsi="Times New Roman"/>
        </w:rPr>
        <w:t>Schwerpunkt 5: Ordnungsmäßigkeit der Buchführung</w:t>
      </w:r>
    </w:p>
    <w:p>
      <w:pPr>
        <w:pStyle w:val="ListBullet"/>
      </w:pPr>
      <w:r>
        <w:t>GoBD-Konformität der elektronischen Buchführung</w:t>
      </w:r>
    </w:p>
    <w:p>
      <w:pPr>
        <w:pStyle w:val="ListBullet"/>
      </w:pPr>
      <w:r>
        <w:t>Kassenprüfung Filiale Augsburg-Oberhausen</w:t>
      </w:r>
    </w:p>
    <w:p/>
    <w:p>
      <w:pPr>
        <w:pStyle w:val="Heading2"/>
      </w:pPr>
      <w:r>
        <w:rPr>
          <w:rFonts w:ascii="Times New Roman" w:hAnsi="Times New Roman"/>
        </w:rPr>
        <w:t>Interne Bewertung der Schwerpunkte</w:t>
      </w:r>
    </w:p>
    <w:p>
      <w:pPr>
        <w:jc w:val="left"/>
      </w:pPr>
      <w:r>
        <w:t>Aus Kanzleisicht bestehen die größten Risiken bei den Schwerpunkten 2 (Luxemburg) und 3 (nahestehende Personen). Die Luxemburg-Konstellation ist besonders problematisch, da die Tochtergesellschaft nach bisheriger Aktenlage kaum eigene Substanz aufweist (kein eigenes Personal in Luxemburg, Geschäftsführer wohnt in Augsburg, Geschäftsadresse ist eine Briefkastenfirma bei einer Luxemburger Finanzverwaltungsgesellschaft).</w:t>
      </w:r>
    </w:p>
    <w:p>
      <w:pPr>
        <w:jc w:val="left"/>
      </w:pPr>
      <w:r>
        <w:rPr>
          <w:b/>
        </w:rPr>
        <w:t>Rechtliche Einordnung:</w:t>
      </w:r>
      <w:r>
        <w:t xml:space="preserve"> Nach BFH I R 36/14 (bundesfinanzhof.de) sind bei Funktionsverlagerungen ins Ausland strenge Maßstäbe anzulegen; der BFH verlangt eine substanzielle wirtschaftliche Tätigkeit am ausländischen Ort. Die Marquardt Luxembourg S.à r.l. dürfte diesen Test nicht bestehen.</w:t>
      </w:r>
    </w:p>
    <w:p>
      <w:pPr>
        <w:jc w:val="left"/>
      </w:pPr>
      <w:r>
        <w:rPr>
          <w:b/>
        </w:rPr>
        <w:t>Quellen:</w:t>
      </w:r>
    </w:p>
    <w:p>
      <w:pPr>
        <w:pStyle w:val="ListBullet"/>
      </w:pPr>
      <w:r>
        <w:t>§ 196 AO — https://dejure.org/gesetze/AO/196.html</w:t>
      </w:r>
    </w:p>
    <w:p>
      <w:pPr>
        <w:pStyle w:val="ListBullet"/>
      </w:pPr>
      <w:r>
        <w:t>§ 201 AO — https://dejure.org/gesetze/AO/201.html</w:t>
      </w:r>
    </w:p>
    <w:p>
      <w:pPr>
        <w:pStyle w:val="ListBullet"/>
      </w:pPr>
      <w:r>
        <w:t>§ 50d AStG — https://dejure.org/gesetze/AStG/50d.html</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