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04 — Prüfungsjahre 2020–2024: Umsatz- und Ertragsstruktur</w:t>
      </w:r>
    </w:p>
    <w:p>
      <w:pPr>
        <w:jc w:val="left"/>
      </w:pPr>
      <w:r>
        <w:rPr>
          <w:b/>
        </w:rPr>
        <w:t>Stand:</w:t>
      </w:r>
      <w:r>
        <w:t xml:space="preserve"> 16.03.2026 (Daten aus übergebenen Jahresabschlüssen)</w:t>
      </w:r>
    </w:p>
    <w:p>
      <w:pPr>
        <w:jc w:val="left"/>
      </w:pPr>
      <w:r>
        <w:rPr>
          <w:b/>
        </w:rPr>
        <w:t>Erstellt von:</w:t>
      </w:r>
      <w:r>
        <w:t xml:space="preserve"> StB Falk Roosendaal</w:t>
      </w:r>
    </w:p>
    <w:p/>
    <w:p>
      <w:pPr>
        <w:pStyle w:val="Heading2"/>
      </w:pPr>
      <w:r>
        <w:rPr>
          <w:rFonts w:ascii="Times New Roman" w:hAnsi="Times New Roman"/>
        </w:rPr>
        <w:t>Kennzahlenübersicht 2020–2024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Jahr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Umsatz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Rohergebnis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EBIT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KSt+GewSt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Ausschüttung EUR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14.800.000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3.700.000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840.000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248.000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200.000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16.200.000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4.100.000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980.000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289.000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300.000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18.400.000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4.600.000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1.240.000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366.000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450.000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17.900.000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4.480.000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1.100.000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325.000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350.000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18.100.000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4.525.000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1.180.000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349.000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400.000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Beteiligungsstruktur</w:t>
      </w:r>
    </w:p>
    <w:p>
      <w:pPr>
        <w:pStyle w:val="ListBullet"/>
      </w:pPr>
      <w:r>
        <w:rPr>
          <w:b/>
        </w:rPr>
        <w:t>Komplementär-GmbH:</w:t>
      </w:r>
      <w:r>
        <w:t xml:space="preserve"> Marquardt Verwaltungs-GmbH (100% R. Marquardt-Eichenmüller)</w:t>
      </w:r>
    </w:p>
    <w:p>
      <w:pPr>
        <w:pStyle w:val="ListBullet"/>
      </w:pPr>
      <w:r>
        <w:rPr>
          <w:b/>
        </w:rPr>
        <w:t>Kommanditisten:</w:t>
      </w:r>
      <w:r>
        <w:t xml:space="preserve"> R. Marquardt-Eichenmüller (95% Kapitalanteil), Brigitte Marquardt-Eichenmüller (5%)</w:t>
      </w:r>
    </w:p>
    <w:p>
      <w:pPr>
        <w:pStyle w:val="ListBullet"/>
      </w:pPr>
      <w:r>
        <w:rPr>
          <w:b/>
        </w:rPr>
        <w:t>Tochtergesellschaft:</w:t>
      </w:r>
      <w:r>
        <w:t xml:space="preserve"> Marquardt Luxembourg S.à r.l. (100% über Komplementär-GmbH)</w:t>
      </w:r>
    </w:p>
    <w:p/>
    <w:p>
      <w:pPr>
        <w:pStyle w:val="Heading2"/>
      </w:pPr>
      <w:r>
        <w:rPr>
          <w:rFonts w:ascii="Times New Roman" w:hAnsi="Times New Roman"/>
        </w:rPr>
        <w:t>Zahlungsflüsse an Luxemburg-Tochter (Provisionen)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Jahr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Provisionszahlung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Bezeichnung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Vertragsgrundlage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Vertriebsprovision Portugal/Südeuropa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Agenturvertrag 2018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420.000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Vertriebsprovision Portugal/Südeuropa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Agenturvertrag 2018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510.000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Vertriebsprovision Portugal/Südeuropa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Agenturvertrag 2018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490.000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Vertriebsprovision Portugal/Südeuropa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Agenturvertrag 2018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520.000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Vertriebsprovision Portugal/Südeuropa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Agenturvertrag 2018 (revidiert)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2.320.000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/>
    <w:p>
      <w:pPr>
        <w:pStyle w:val="Heading2"/>
      </w:pPr>
      <w:r>
        <w:rPr>
          <w:rFonts w:ascii="Times New Roman" w:hAnsi="Times New Roman"/>
        </w:rPr>
        <w:t>Honorarzahlungen Heinz Marquardt (Bruder, Subunternehmer)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Jahr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Honorar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Leistung laut Vertrag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95.000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Vertriebsberatung Nordbayern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95.000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Vertriebsberatung Nordbayern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95.000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Vertriebsberatung Nordbayern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95.000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Vertriebsberatung Nordbayern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95.000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Vertriebsberatung Nordbayern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475.000</w:t>
            </w:r>
          </w:p>
        </w:tc>
        <w:tc>
          <w:tcPr>
            <w:tcW w:type="dxa" w:w="3024"/>
          </w:tcPr>
          <w:p/>
        </w:tc>
      </w:tr>
    </w:tbl>
    <w:p/>
    <w:p>
      <w:pPr>
        <w:pStyle w:val="Heading2"/>
      </w:pPr>
      <w:r>
        <w:rPr>
          <w:rFonts w:ascii="Times New Roman" w:hAnsi="Times New Roman"/>
        </w:rPr>
        <w:t>Kfz-Pool 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Fahrzeug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Listenpreis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Nutzungsberechtigte Person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Fahrtenbuch vorhanden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BMW X5 M50i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R. Marquardt-Eichenmüller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Mercedes E 450 Cabrio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R. Marquardt-Eichenmüller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 (2021–2024)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Porsche Cayenne 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128.000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R. Marquardt-Eichenmüller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VW Touareg R-Line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78.000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Vertriebsleiter Huber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Audi A6 Avant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68.000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Außendienst Gmeiner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Mercedes Vito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Filialleitung Oberhausen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BMW 320d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48.000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Buchhaltungsleiterin Sander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Anmerkung zur Luxemburg-Substanz</w:t>
      </w:r>
    </w:p>
    <w:p>
      <w:pPr>
        <w:jc w:val="left"/>
      </w:pPr>
      <w:r>
        <w:t>Die Marquardt Luxembourg S.à r.l. hat laut luxemburgischem Handelsregister keinen Mitarbeiter in Vollzeit. Der eingetragene Geschäftsführer ist Herr Marquardt-Eichenmüller persönlich (Wohnsitz Augsburg). Die Gesellschaft verfügt über ein Konto bei der BGL BNP Paribas in Luxemburg, nutzt aber eine Registered-Office-Adresse einer Finanzverwaltungsgesellschaft. Dies begründet den Anfangsverdacht für eine Durchgriffshaftung und Hinzurechnungsbesteuerung nach §§ 7 ff. AStG.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§§ 7–14 AStG — https://dejure.org/gesetze/AStG</w:t>
      </w:r>
    </w:p>
    <w:p>
      <w:pPr>
        <w:pStyle w:val="ListBullet"/>
      </w:pPr>
      <w:r>
        <w:t>§ 6 Abs. 1 Nr. 4 EStG — https://dejure.org/gesetze/EStG/6.html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