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— Feststellung 1: Pkw-Pool und 1%-Regelung</w:t>
      </w:r>
    </w:p>
    <w:p>
      <w:pPr>
        <w:jc w:val="left"/>
      </w:pPr>
      <w:r>
        <w:rPr>
          <w:b/>
        </w:rPr>
        <w:t>Feststellungs-Nr.:</w:t>
      </w:r>
      <w:r>
        <w:t xml:space="preserve"> BP-1</w:t>
      </w:r>
    </w:p>
    <w:p>
      <w:pPr>
        <w:jc w:val="left"/>
      </w:pPr>
      <w:r>
        <w:rPr>
          <w:b/>
        </w:rPr>
        <w:t>Steuerart:</w:t>
      </w:r>
      <w:r>
        <w:t xml:space="preserve"> Einkommensteuer / KSt</w:t>
      </w:r>
    </w:p>
    <w:p>
      <w:pPr>
        <w:jc w:val="left"/>
      </w:pPr>
      <w:r>
        <w:rPr>
          <w:b/>
        </w:rPr>
        <w:t>Prüfungsjahre:</w:t>
      </w:r>
      <w:r>
        <w:t xml:space="preserve"> 2020–2024</w:t>
      </w:r>
    </w:p>
    <w:p>
      <w:pPr>
        <w:jc w:val="left"/>
      </w:pPr>
      <w:r>
        <w:rPr>
          <w:b/>
        </w:rPr>
        <w:t>Prüfer:</w:t>
      </w:r>
      <w:r>
        <w:t xml:space="preserve"> Kelterbaum</w:t>
      </w:r>
    </w:p>
    <w:p>
      <w:pPr>
        <w:jc w:val="left"/>
      </w:pPr>
      <w:r>
        <w:rPr>
          <w:b/>
        </w:rPr>
        <w:t>Kanzlei-Stellungnahme:</w:t>
      </w:r>
      <w:r>
        <w:t xml:space="preserve"> Dr. Vellbruck-Steinheim / Roosendaal, 22.04.2026</w:t>
      </w:r>
    </w:p>
    <w:p/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>Der Prüfer beanstandet die Privatnutzung von fünf Fahrzeugen des Pkw-Pools. Für den BMW X5 M50i, den Porsche Cayenne S, den VW Touareg, den Audi A6 sowie den Mercedes Vito fehlen ordnungsgemäße Fahrtenbücher (§ 6 Abs. 1 Nr. 4 EStG). Lediglich für den Mercedes E 450 Cabrio liegt ein Fahrtenbuch ab 2021 vor.</w:t>
      </w:r>
    </w:p>
    <w:p>
      <w:pPr>
        <w:jc w:val="left"/>
      </w:pPr>
      <w:r>
        <w:t>Der Prüfer setzt die 1%-Regelung für alle sechs Fahrzeuge ohne Fahrtenbuch an. Bei Mehrfachnutzung durch den Gesellschafter-Geschäftsführer (BMW X5 und Porsche Cayenne) wird der Ansatz als verdeckte Gewinnausschüttung qualifiziert (§ 8 Abs. 3 KStG).</w:t>
      </w:r>
    </w:p>
    <w:p/>
    <w:p>
      <w:pPr>
        <w:pStyle w:val="Heading2"/>
      </w:pPr>
      <w:r>
        <w:rPr>
          <w:rFonts w:ascii="Times New Roman" w:hAnsi="Times New Roman"/>
        </w:rPr>
        <w:t>Berechnung Prüfer (Entwurf)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Fahrzeug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Listenpreis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Jahreswert 1% p.M.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x 12 Monate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Prüfjahre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Gesamtansatz EUR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BMW X5 M50i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118.000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1.180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14.160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70.800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Porsche Cayenne 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128.000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15.360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76.800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VW Touareg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78.000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9.360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46.800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Audi A6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68.000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8.160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40.800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Mercedes Vito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52.000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6.240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31.200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266.400</w:t>
            </w:r>
          </w:p>
        </w:tc>
      </w:tr>
    </w:tbl>
    <w:p>
      <w:pPr>
        <w:jc w:val="left"/>
      </w:pPr>
      <w:r>
        <w:t>Vom Ansatz abzüglich bereits gebuchter Privatanteile (pauschale 25%) = Netto-Mehrgewinn ca. EUR 199.800 über 5 Jahre.</w:t>
      </w:r>
    </w:p>
    <w:p/>
    <w:p>
      <w:pPr>
        <w:pStyle w:val="Heading2"/>
      </w:pPr>
      <w:r>
        <w:rPr>
          <w:rFonts w:ascii="Times New Roman" w:hAnsi="Times New Roman"/>
        </w:rPr>
        <w:t>Gegenargumente Kanzlei</w:t>
      </w:r>
    </w:p>
    <w:p>
      <w:pPr>
        <w:jc w:val="left"/>
      </w:pPr>
      <w:r>
        <w:rPr>
          <w:b/>
        </w:rPr>
        <w:t>Zu BMW X5 und Porsche Cayenne:</w:t>
      </w:r>
      <w:r>
        <w:t xml:space="preserve"> Die gleichzeitige Anwendung der 1%-Regelung auf zwei hochpreisige Fahrzeuge widerspricht dem BFH-Urteil vom 03.08.2016 (Az. VI R 55/14 — openjur.de), wonach bei nur einem Steuerpflichtigen je Fahrzeug die private Nutzung maximal auf das tatsächliche Nutzungsverhalten zu beschränken ist. Da nachweislich ein Fahrtenbuch für den Mercedes E 450 existiert, ist glaubhaft, dass der GF primär diesen nutzte.</w:t>
      </w:r>
    </w:p>
    <w:p>
      <w:pPr>
        <w:jc w:val="left"/>
      </w:pPr>
      <w:r>
        <w:rPr>
          <w:b/>
        </w:rPr>
        <w:t>Zum Porsche Cayenne:</w:t>
      </w:r>
      <w:r>
        <w:t xml:space="preserve"> Das Fahrzeug diente überwiegend Repräsentationszwecken bei Kundenterminen (Nachweise liegen vor: 14 dokumentierte Kundentermine 2022 und 2023). Ein vollständiger Privatanteil ist nicht gerechtfertigt.</w:t>
      </w:r>
    </w:p>
    <w:p>
      <w:pPr>
        <w:jc w:val="left"/>
      </w:pPr>
      <w:r>
        <w:rPr>
          <w:b/>
        </w:rPr>
        <w:t>Zu VW Touareg und Audi A6:</w:t>
      </w:r>
      <w:r>
        <w:t xml:space="preserve"> Diese Fahrzeuge stehen Vertriebsmitarbeitern zur Verfügung; Privatnutzung des GF ist faktisch ausgeschlossen (Standort Filiale Oberhausen).</w:t>
      </w:r>
    </w:p>
    <w:p/>
    <w:p>
      <w:pPr>
        <w:pStyle w:val="Heading2"/>
      </w:pPr>
      <w:r>
        <w:rPr>
          <w:rFonts w:ascii="Times New Roman" w:hAnsi="Times New Roman"/>
        </w:rPr>
        <w:t>Einigung in Aussicht</w:t>
      </w:r>
    </w:p>
    <w:p>
      <w:pPr>
        <w:jc w:val="left"/>
      </w:pPr>
      <w:r>
        <w:t>Kelterbaum signalisiert, bei BMW X5 und Mercedes E 450 einen Kompromiss zu suchen (ggf. Privatanteil 40% statt 100%). Für Touareg, A6 und Vito wird die Feststellung voraussichtlich zurückgenommen.</w:t>
      </w:r>
    </w:p>
    <w:p>
      <w:pPr>
        <w:jc w:val="left"/>
      </w:pPr>
      <w:r>
        <w:rPr>
          <w:b/>
        </w:rPr>
        <w:t>Mehrsteuer (Schätzung nach Kompromiss):</w:t>
      </w:r>
      <w:r>
        <w:t xml:space="preserve"> EUR 28.000–38.000 KSt und ESt gesamt 2020–2024.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§ 6 Abs. 1 Nr. 4 EStG — https://dejure.org/gesetze/EStG/6.html</w:t>
      </w:r>
    </w:p>
    <w:p>
      <w:pPr>
        <w:pStyle w:val="ListBullet"/>
      </w:pPr>
      <w:r>
        <w:t>§ 8 Abs. 3 KStG — https://dejure.org/gesetze/KStG/8.html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