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Feststellung 2: Firmenwohnung Mallorca</w:t>
      </w:r>
    </w:p>
    <w:p>
      <w:pPr>
        <w:jc w:val="left"/>
      </w:pPr>
      <w:r>
        <w:rPr>
          <w:b/>
        </w:rPr>
        <w:t>Feststellungs-Nr.:</w:t>
      </w:r>
      <w:r>
        <w:t xml:space="preserve"> BP-2</w:t>
      </w:r>
    </w:p>
    <w:p>
      <w:pPr>
        <w:jc w:val="left"/>
      </w:pPr>
      <w:r>
        <w:rPr>
          <w:b/>
        </w:rPr>
        <w:t>Steuerart:</w:t>
      </w:r>
      <w:r>
        <w:t xml:space="preserve"> KSt / ESt (vGA)</w:t>
      </w:r>
    </w:p>
    <w:p>
      <w:pPr>
        <w:jc w:val="left"/>
      </w:pPr>
      <w:r>
        <w:rPr>
          <w:b/>
        </w:rPr>
        <w:t>Prüfungsjahre:</w:t>
      </w:r>
      <w:r>
        <w:t xml:space="preserve"> 2020–2024</w:t>
      </w:r>
    </w:p>
    <w:p>
      <w:pPr>
        <w:jc w:val="left"/>
      </w:pPr>
      <w:r>
        <w:rPr>
          <w:b/>
        </w:rPr>
        <w:t>Kernvorwurf:</w:t>
      </w:r>
      <w:r>
        <w:t xml:space="preserve"> Verdeckte Gewinnausschüttung gem. § 8 Abs. 3 Satz 2 KStG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Die KG unterhält eine Ferienwohnung in Cala d'Or, Mallorca (Kauf 2017, Bilanzwert EUR 680.000). Die Wohnung wird im Buchführungssystem als Betriebsvermögen geführt und sämtliche Unterhaltskosten (Hausgeld, Strom, Reinigung, Reparaturen: jährlich ca. EUR 24.000) als Betriebsausgaben abgesetzt.</w:t>
      </w:r>
    </w:p>
    <w:p>
      <w:pPr>
        <w:jc w:val="left"/>
      </w:pPr>
      <w:r>
        <w:t>Der Sohn des Geschäftsführers, Stefan Marquardt-Eichenmüller (26 Jahre, Student der Ingenieurwissenschaften in München), nutzte die Wohnung nachweislich in folgenden Zeiträumen:</w:t>
      </w:r>
    </w:p>
    <w:p>
      <w:pPr>
        <w:pStyle w:val="ListBullet"/>
      </w:pPr>
      <w:r>
        <w:t>2020: ca. 6 Wochen (Frühjahr + Sommer)</w:t>
      </w:r>
    </w:p>
    <w:p>
      <w:pPr>
        <w:pStyle w:val="ListBullet"/>
      </w:pPr>
      <w:r>
        <w:t>2021: ca. 5 Wochen</w:t>
      </w:r>
    </w:p>
    <w:p>
      <w:pPr>
        <w:pStyle w:val="ListBullet"/>
      </w:pPr>
      <w:r>
        <w:t>2022: ca. 8 Wochen</w:t>
      </w:r>
    </w:p>
    <w:p>
      <w:pPr>
        <w:pStyle w:val="ListBullet"/>
      </w:pPr>
      <w:r>
        <w:t>2023: ca. 7 Wochen</w:t>
      </w:r>
    </w:p>
    <w:p>
      <w:pPr>
        <w:pStyle w:val="ListBullet"/>
      </w:pPr>
      <w:r>
        <w:t>2024: ca. 6 Wochen</w:t>
      </w:r>
    </w:p>
    <w:p>
      <w:pPr>
        <w:jc w:val="left"/>
      </w:pPr>
      <w:r>
        <w:t>Ein schriftlicher Nutzungsvertrag mit dem Sohn fehlt vollständig. Ein schriftlicher Mietvertrag mit Fremdvergleichsmiete lag zu keinem Zeitpunkt vor.</w:t>
      </w:r>
    </w:p>
    <w:p/>
    <w:p>
      <w:pPr>
        <w:pStyle w:val="Heading2"/>
      </w:pPr>
      <w:r>
        <w:rPr>
          <w:rFonts w:ascii="Times New Roman" w:hAnsi="Times New Roman"/>
        </w:rPr>
        <w:t>Rechtliche Qualifikation</w:t>
      </w:r>
    </w:p>
    <w:p>
      <w:pPr>
        <w:pStyle w:val="Heading3"/>
      </w:pPr>
      <w:r>
        <w:rPr>
          <w:rFonts w:ascii="Times New Roman" w:hAnsi="Times New Roman"/>
        </w:rPr>
        <w:t>Verdeckte Gewinnausschüttung (vGA) nach § 8 Abs. 3 KStG</w:t>
      </w:r>
    </w:p>
    <w:p>
      <w:pPr>
        <w:jc w:val="left"/>
      </w:pPr>
      <w:r>
        <w:t>Der BFH definiert die vGA als eine Vermögensminderung oder verhinderte Vermögensmehrung, die durch das Gesellschaftsverhältnis veranlasst ist und nicht dem Drittvergleich standhält (BFH GrS 1/93, BStBl. II 1995, 301 — openjur.de).</w:t>
      </w:r>
    </w:p>
    <w:p>
      <w:pPr>
        <w:jc w:val="left"/>
      </w:pPr>
      <w:r>
        <w:t>Im vorliegenden Fall:</w:t>
      </w:r>
    </w:p>
    <w:p>
      <w:pPr>
        <w:pStyle w:val="ListBullet"/>
      </w:pPr>
      <w:r>
        <w:t>Nutzung durch nahestehendes Kind (§ 1 Abs. 2 AStG: nahestehende Person)</w:t>
      </w:r>
    </w:p>
    <w:p>
      <w:pPr>
        <w:pStyle w:val="ListBullet"/>
      </w:pPr>
      <w:r>
        <w:t>Kein Fremdvergleichsvertrag vorhanden</w:t>
      </w:r>
    </w:p>
    <w:p>
      <w:pPr>
        <w:pStyle w:val="ListBullet"/>
      </w:pPr>
      <w:r>
        <w:t>Ortsübliche Miete Mallorca (Cala d'Or, 120 m², Meerblick): ca. EUR 1.800–2.200/Woche</w:t>
      </w:r>
    </w:p>
    <w:p>
      <w:pPr>
        <w:pStyle w:val="ListBullet"/>
      </w:pPr>
      <w:r>
        <w:t>Wert der privaten Nutzung: 32 Wochen x EUR 2.000 = EUR 64.000 über 5 Jahre (ca. EUR 12.800/Jahr)</w:t>
      </w:r>
    </w:p>
    <w:p>
      <w:pPr>
        <w:jc w:val="left"/>
      </w:pPr>
      <w:r>
        <w:t>Der Prüfer setzt den Mietwert als vGA an und erhöht das zu versteuernde Einkommen entsprechend. Zusätzlich wird der Betriebsausgabenabzug für Unterhaltskosten anteilig versagt (§ 4 Abs. 5 Satz 1 Nr. 3 EStG).</w:t>
      </w:r>
    </w:p>
    <w:p/>
    <w:p>
      <w:pPr>
        <w:pStyle w:val="Heading2"/>
      </w:pPr>
      <w:r>
        <w:rPr>
          <w:rFonts w:ascii="Times New Roman" w:hAnsi="Times New Roman"/>
        </w:rPr>
        <w:t>Prüfer-Feststellung (Entwurf)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Nutzungswochen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Marktwert/Woche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vGA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BA-Kürzung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 EUR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1.900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5.760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17.160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14.800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2.100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7.680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24.480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2.100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14.700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6.720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21.420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5.760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18.960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66.100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30.720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96.820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Gegenargumente Kanzlei</w:t>
      </w:r>
    </w:p>
    <w:p>
      <w:pPr>
        <w:pStyle w:val="ListNumber"/>
      </w:pPr>
      <w:r>
        <w:t>Die Wohnung steht Kunden und Geschäftspartnern ebenfalls zur Verfügung; Nutzung durch Familienangehörige war gelegentlich und nicht planmäßig.</w:t>
      </w:r>
    </w:p>
    <w:p>
      <w:pPr>
        <w:pStyle w:val="ListNumber"/>
      </w:pPr>
      <w:r>
        <w:t>Die vom Prüfer angesetzten Wochenmietpreise für Cala d'Or erscheinen überhöht; Parallelvergleich mit vergleichbaren Objekte zeigt EUR 1.200–1.500/Woche realistisch.</w:t>
      </w:r>
    </w:p>
    <w:p>
      <w:pPr>
        <w:pStyle w:val="ListNumber"/>
      </w:pPr>
      <w:r>
        <w:t>Es wird eine nachträgliche Nutzungsvereinbarung angeboten (keine Heilungswirkung für Vergangenheit, aber Argument für Verständigungslösung).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Die vGA-Feststellung ist dem Grunde nach nicht abwehrbar. Die Auseinandersetzung sollte sich auf die Höhe konzentrieren (Mietwert, Nutzungswochen). Ziel: Reduzierung auf EUR 55.000–65.000 Gesamtansatz.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8 Abs. 3 KStG — https://dejure.org/gesetze/KStG/8.html</w:t>
      </w:r>
    </w:p>
    <w:p>
      <w:pPr>
        <w:pStyle w:val="ListBullet"/>
      </w:pPr>
      <w:r>
        <w:t>§ 4 Abs. 5 EStG — https://dejure.org/gesetze/EStG/4.html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