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Feststellung 3: Fremdvergleich Bruder als Subunternehmer</w:t>
      </w:r>
    </w:p>
    <w:p>
      <w:pPr>
        <w:jc w:val="left"/>
      </w:pPr>
      <w:r>
        <w:rPr>
          <w:b/>
        </w:rPr>
        <w:t>Feststellungs-Nr.:</w:t>
      </w:r>
      <w:r>
        <w:t xml:space="preserve"> BP-3</w:t>
      </w:r>
    </w:p>
    <w:p>
      <w:pPr>
        <w:jc w:val="left"/>
      </w:pPr>
      <w:r>
        <w:rPr>
          <w:b/>
        </w:rPr>
        <w:t>Steuerart:</w:t>
      </w:r>
      <w:r>
        <w:t xml:space="preserve"> KSt (vGA), ESt Kommanditisten</w:t>
      </w:r>
    </w:p>
    <w:p>
      <w:pPr>
        <w:jc w:val="left"/>
      </w:pPr>
      <w:r>
        <w:rPr>
          <w:b/>
        </w:rPr>
        <w:t>Prüfungsjahre:</w:t>
      </w:r>
      <w:r>
        <w:t xml:space="preserve"> 2020–2024</w:t>
      </w:r>
    </w:p>
    <w:p>
      <w:pPr>
        <w:jc w:val="left"/>
      </w:pPr>
      <w:r>
        <w:rPr>
          <w:b/>
        </w:rPr>
        <w:t>Kernvorwurf:</w:t>
      </w:r>
      <w:r>
        <w:t xml:space="preserve"> Verdeckte Gewinnausschüttung / überhöhtes Fremdleistungsentgelt an nahestehende Person</w:t>
      </w:r>
    </w:p>
    <w:p/>
    <w:p>
      <w:pPr>
        <w:pStyle w:val="Heading2"/>
      </w:pPr>
      <w:r>
        <w:rPr>
          <w:rFonts w:ascii="Times New Roman" w:hAnsi="Times New Roman"/>
        </w:rPr>
        <w:t>Sachverhalt</w:t>
      </w:r>
    </w:p>
    <w:p>
      <w:pPr>
        <w:jc w:val="left"/>
      </w:pPr>
      <w:r>
        <w:t>Heinz Marquardt (Bruder des GF, wohnhaft Nürnberg) wird seit 2015 als Subunternehmer im Bereich Vertriebsberatung Nordbayern eingesetzt. Der Jahreshonorarsatz beträgt konstant EUR 95.000 netto (monatlich EUR 7.917). Eine Umsatzsteuerpflicht besteht, Rechnungen wurden gestellt.</w:t>
      </w:r>
    </w:p>
    <w:p>
      <w:pPr>
        <w:jc w:val="left"/>
      </w:pPr>
      <w:r>
        <w:t>Der Prüfer holt einen Marktvergleich ein. Für eine vergleichbare Vertriebsberatungsleistung (nordbayerischer Mittelstandsbereich, Maschinenbau, ohne eigene Akquisition) liegt der marktübliche Satz bei EUR 40.000–60.000/Jahr (externe Vergleichsangebote: 3 Vergleichsangebote, Durchschnitt EUR 52.000).</w:t>
      </w:r>
    </w:p>
    <w:p/>
    <w:p>
      <w:pPr>
        <w:pStyle w:val="Heading2"/>
      </w:pPr>
      <w:r>
        <w:rPr>
          <w:rFonts w:ascii="Times New Roman" w:hAnsi="Times New Roman"/>
        </w:rPr>
        <w:t>Rechtliche Einordnung</w:t>
      </w:r>
    </w:p>
    <w:p>
      <w:pPr>
        <w:jc w:val="left"/>
      </w:pPr>
      <w:r>
        <w:t>Nach § 8 Abs. 3 Satz 2 KStG sind Leistungen an einen Gesellschafter oder eine diesem nahestehende Person am Fremdvergleichsgrundsatz zu messen. Der Bruder des Gesellschafter-GF gilt als nahestehende Person i.S.v. § 1 Abs. 2 AStG (nahe Angehörige i.S.d. § 15 AO). Eine vGA liegt vor, wenn ein ordentlicher und gewissenhafter Geschäftsleiter das Leistungsentgelt in dieser Höhe mit einem Fremden nicht vereinbart hätte.</w:t>
      </w:r>
    </w:p>
    <w:p>
      <w:pPr>
        <w:jc w:val="left"/>
      </w:pPr>
      <w:r>
        <w:t>Referenzentscheidung: BFH I R 81/00, BStBl. II 2002, 278 — Nahestehende Personen und Fremdvergleich bei Dienstleistungsverträgen.</w:t>
      </w:r>
    </w:p>
    <w:p/>
    <w:p>
      <w:pPr>
        <w:pStyle w:val="Heading2"/>
      </w:pPr>
      <w:r>
        <w:rPr>
          <w:rFonts w:ascii="Times New Roman" w:hAnsi="Times New Roman"/>
        </w:rPr>
        <w:t>Prüfer-Berechnung vGA</w:t>
      </w:r>
    </w:p>
    <w:p>
      <w:pPr>
        <w:jc w:val="left"/>
      </w:pPr>
      <w:r>
        <w:t>Überhöhter Honoraranteil: EUR 95.000 - EUR 52.000 (Marktmittel) = EUR 43.000/Jahr.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Jahr</w:t>
            </w:r>
          </w:p>
        </w:tc>
        <w:tc>
          <w:tcPr>
            <w:tcW w:type="dxa" w:w="2268"/>
          </w:tcPr>
          <w:p>
            <w:r>
              <w:rPr>
                <w:rFonts w:ascii="Times New Roman" w:hAnsi="Times New Roman"/>
                <w:b/>
                <w:sz w:val="20"/>
              </w:rPr>
              <w:t>Gezahltes Honorar EUR</w:t>
            </w:r>
          </w:p>
        </w:tc>
        <w:tc>
          <w:tcPr>
            <w:tcW w:type="dxa" w:w="2268"/>
          </w:tcPr>
          <w:p>
            <w:r>
              <w:rPr>
                <w:rFonts w:ascii="Times New Roman" w:hAnsi="Times New Roman"/>
                <w:b/>
                <w:sz w:val="20"/>
              </w:rPr>
              <w:t>Fremdvergleich EUR</w:t>
            </w:r>
          </w:p>
        </w:tc>
        <w:tc>
          <w:tcPr>
            <w:tcW w:type="dxa" w:w="2268"/>
          </w:tcPr>
          <w:p>
            <w:r>
              <w:rPr>
                <w:rFonts w:ascii="Times New Roman" w:hAnsi="Times New Roman"/>
                <w:b/>
                <w:sz w:val="20"/>
              </w:rPr>
              <w:t>vGA EUR</w:t>
            </w:r>
          </w:p>
        </w:tc>
      </w:tr>
      <w:tr>
        <w:tc>
          <w:tcPr>
            <w:tcW w:type="dxa" w:w="2268"/>
          </w:tcPr>
          <w:p>
            <w:r>
              <w:rPr>
                <w:rFonts w:ascii="Times New Roman" w:hAnsi="Times New Roman"/>
                <w:sz w:val="20"/>
              </w:rPr>
              <w:t>2020</w:t>
            </w:r>
          </w:p>
        </w:tc>
        <w:tc>
          <w:tcPr>
            <w:tcW w:type="dxa" w:w="2268"/>
          </w:tcPr>
          <w:p>
            <w:r>
              <w:rPr>
                <w:rFonts w:ascii="Times New Roman" w:hAnsi="Times New Roman"/>
                <w:sz w:val="20"/>
              </w:rPr>
              <w:t>95.000</w:t>
            </w:r>
          </w:p>
        </w:tc>
        <w:tc>
          <w:tcPr>
            <w:tcW w:type="dxa" w:w="2268"/>
          </w:tcPr>
          <w:p>
            <w:r>
              <w:rPr>
                <w:rFonts w:ascii="Times New Roman" w:hAnsi="Times New Roman"/>
                <w:sz w:val="20"/>
              </w:rPr>
              <w:t>52.000</w:t>
            </w:r>
          </w:p>
        </w:tc>
        <w:tc>
          <w:tcPr>
            <w:tcW w:type="dxa" w:w="2268"/>
          </w:tcPr>
          <w:p>
            <w:r>
              <w:rPr>
                <w:rFonts w:ascii="Times New Roman" w:hAnsi="Times New Roman"/>
                <w:sz w:val="20"/>
              </w:rPr>
              <w:t>43.000</w:t>
            </w:r>
          </w:p>
        </w:tc>
      </w:tr>
      <w:tr>
        <w:tc>
          <w:tcPr>
            <w:tcW w:type="dxa" w:w="2268"/>
          </w:tcPr>
          <w:p>
            <w:r>
              <w:rPr>
                <w:rFonts w:ascii="Times New Roman" w:hAnsi="Times New Roman"/>
                <w:sz w:val="20"/>
              </w:rPr>
              <w:t>2021</w:t>
            </w:r>
          </w:p>
        </w:tc>
        <w:tc>
          <w:tcPr>
            <w:tcW w:type="dxa" w:w="2268"/>
          </w:tcPr>
          <w:p>
            <w:r>
              <w:rPr>
                <w:rFonts w:ascii="Times New Roman" w:hAnsi="Times New Roman"/>
                <w:sz w:val="20"/>
              </w:rPr>
              <w:t>95.000</w:t>
            </w:r>
          </w:p>
        </w:tc>
        <w:tc>
          <w:tcPr>
            <w:tcW w:type="dxa" w:w="2268"/>
          </w:tcPr>
          <w:p>
            <w:r>
              <w:rPr>
                <w:rFonts w:ascii="Times New Roman" w:hAnsi="Times New Roman"/>
                <w:sz w:val="20"/>
              </w:rPr>
              <w:t>52.000</w:t>
            </w:r>
          </w:p>
        </w:tc>
        <w:tc>
          <w:tcPr>
            <w:tcW w:type="dxa" w:w="2268"/>
          </w:tcPr>
          <w:p>
            <w:r>
              <w:rPr>
                <w:rFonts w:ascii="Times New Roman" w:hAnsi="Times New Roman"/>
                <w:sz w:val="20"/>
              </w:rPr>
              <w:t>43.000</w:t>
            </w:r>
          </w:p>
        </w:tc>
      </w:tr>
      <w:tr>
        <w:tc>
          <w:tcPr>
            <w:tcW w:type="dxa" w:w="2268"/>
          </w:tcPr>
          <w:p>
            <w:r>
              <w:rPr>
                <w:rFonts w:ascii="Times New Roman" w:hAnsi="Times New Roman"/>
                <w:sz w:val="20"/>
              </w:rPr>
              <w:t>2022</w:t>
            </w:r>
          </w:p>
        </w:tc>
        <w:tc>
          <w:tcPr>
            <w:tcW w:type="dxa" w:w="2268"/>
          </w:tcPr>
          <w:p>
            <w:r>
              <w:rPr>
                <w:rFonts w:ascii="Times New Roman" w:hAnsi="Times New Roman"/>
                <w:sz w:val="20"/>
              </w:rPr>
              <w:t>95.000</w:t>
            </w:r>
          </w:p>
        </w:tc>
        <w:tc>
          <w:tcPr>
            <w:tcW w:type="dxa" w:w="2268"/>
          </w:tcPr>
          <w:p>
            <w:r>
              <w:rPr>
                <w:rFonts w:ascii="Times New Roman" w:hAnsi="Times New Roman"/>
                <w:sz w:val="20"/>
              </w:rPr>
              <w:t>52.000</w:t>
            </w:r>
          </w:p>
        </w:tc>
        <w:tc>
          <w:tcPr>
            <w:tcW w:type="dxa" w:w="2268"/>
          </w:tcPr>
          <w:p>
            <w:r>
              <w:rPr>
                <w:rFonts w:ascii="Times New Roman" w:hAnsi="Times New Roman"/>
                <w:sz w:val="20"/>
              </w:rPr>
              <w:t>43.000</w:t>
            </w:r>
          </w:p>
        </w:tc>
      </w:tr>
      <w:tr>
        <w:tc>
          <w:tcPr>
            <w:tcW w:type="dxa" w:w="2268"/>
          </w:tcPr>
          <w:p>
            <w:r>
              <w:rPr>
                <w:rFonts w:ascii="Times New Roman" w:hAnsi="Times New Roman"/>
                <w:sz w:val="20"/>
              </w:rPr>
              <w:t>2023</w:t>
            </w:r>
          </w:p>
        </w:tc>
        <w:tc>
          <w:tcPr>
            <w:tcW w:type="dxa" w:w="2268"/>
          </w:tcPr>
          <w:p>
            <w:r>
              <w:rPr>
                <w:rFonts w:ascii="Times New Roman" w:hAnsi="Times New Roman"/>
                <w:sz w:val="20"/>
              </w:rPr>
              <w:t>95.000</w:t>
            </w:r>
          </w:p>
        </w:tc>
        <w:tc>
          <w:tcPr>
            <w:tcW w:type="dxa" w:w="2268"/>
          </w:tcPr>
          <w:p>
            <w:r>
              <w:rPr>
                <w:rFonts w:ascii="Times New Roman" w:hAnsi="Times New Roman"/>
                <w:sz w:val="20"/>
              </w:rPr>
              <w:t>52.000</w:t>
            </w:r>
          </w:p>
        </w:tc>
        <w:tc>
          <w:tcPr>
            <w:tcW w:type="dxa" w:w="2268"/>
          </w:tcPr>
          <w:p>
            <w:r>
              <w:rPr>
                <w:rFonts w:ascii="Times New Roman" w:hAnsi="Times New Roman"/>
                <w:sz w:val="20"/>
              </w:rPr>
              <w:t>43.000</w:t>
            </w:r>
          </w:p>
        </w:tc>
      </w:tr>
      <w:tr>
        <w:tc>
          <w:tcPr>
            <w:tcW w:type="dxa" w:w="2268"/>
          </w:tcPr>
          <w:p>
            <w:r>
              <w:rPr>
                <w:rFonts w:ascii="Times New Roman" w:hAnsi="Times New Roman"/>
                <w:sz w:val="20"/>
              </w:rPr>
              <w:t>2024</w:t>
            </w:r>
          </w:p>
        </w:tc>
        <w:tc>
          <w:tcPr>
            <w:tcW w:type="dxa" w:w="2268"/>
          </w:tcPr>
          <w:p>
            <w:r>
              <w:rPr>
                <w:rFonts w:ascii="Times New Roman" w:hAnsi="Times New Roman"/>
                <w:sz w:val="20"/>
              </w:rPr>
              <w:t>95.000</w:t>
            </w:r>
          </w:p>
        </w:tc>
        <w:tc>
          <w:tcPr>
            <w:tcW w:type="dxa" w:w="2268"/>
          </w:tcPr>
          <w:p>
            <w:r>
              <w:rPr>
                <w:rFonts w:ascii="Times New Roman" w:hAnsi="Times New Roman"/>
                <w:sz w:val="20"/>
              </w:rPr>
              <w:t>52.000</w:t>
            </w:r>
          </w:p>
        </w:tc>
        <w:tc>
          <w:tcPr>
            <w:tcW w:type="dxa" w:w="2268"/>
          </w:tcPr>
          <w:p>
            <w:r>
              <w:rPr>
                <w:rFonts w:ascii="Times New Roman" w:hAnsi="Times New Roman"/>
                <w:sz w:val="20"/>
              </w:rPr>
              <w:t>43.000</w:t>
            </w:r>
          </w:p>
        </w:tc>
      </w:tr>
      <w:tr>
        <w:tc>
          <w:tcPr>
            <w:tcW w:type="dxa" w:w="2268"/>
          </w:tcPr>
          <w:p>
            <w:r>
              <w:rPr>
                <w:rFonts w:ascii="Times New Roman" w:hAnsi="Times New Roman"/>
                <w:b/>
                <w:sz w:val="20"/>
              </w:rPr>
              <w:t>Summe</w:t>
            </w:r>
          </w:p>
        </w:tc>
        <w:tc>
          <w:tcPr>
            <w:tcW w:type="dxa" w:w="2268"/>
          </w:tcPr>
          <w:p>
            <w:r>
              <w:rPr>
                <w:rFonts w:ascii="Times New Roman" w:hAnsi="Times New Roman"/>
                <w:b/>
                <w:sz w:val="20"/>
              </w:rPr>
              <w:t>475.000</w:t>
            </w:r>
          </w:p>
        </w:tc>
        <w:tc>
          <w:tcPr>
            <w:tcW w:type="dxa" w:w="2268"/>
          </w:tcPr>
          <w:p>
            <w:r>
              <w:rPr>
                <w:rFonts w:ascii="Times New Roman" w:hAnsi="Times New Roman"/>
                <w:b/>
                <w:sz w:val="20"/>
              </w:rPr>
              <w:t>260.000</w:t>
            </w:r>
          </w:p>
        </w:tc>
        <w:tc>
          <w:tcPr>
            <w:tcW w:type="dxa" w:w="2268"/>
          </w:tcPr>
          <w:p>
            <w:r>
              <w:rPr>
                <w:rFonts w:ascii="Times New Roman" w:hAnsi="Times New Roman"/>
                <w:b/>
                <w:sz w:val="20"/>
              </w:rPr>
              <w:t>215.000</w:t>
            </w:r>
          </w:p>
        </w:tc>
      </w:tr>
    </w:tbl>
    <w:p>
      <w:pPr>
        <w:jc w:val="left"/>
      </w:pPr>
      <w:r>
        <w:t>Auf die vGA entfällt KSt 15% zzgl. SolZ + GewSt ca. 30,825% gesamt = ca. EUR 66.300 Mehrsteuer.</w:t>
      </w:r>
    </w:p>
    <w:p/>
    <w:p>
      <w:pPr>
        <w:pStyle w:val="Heading2"/>
      </w:pPr>
      <w:r>
        <w:rPr>
          <w:rFonts w:ascii="Times New Roman" w:hAnsi="Times New Roman"/>
        </w:rPr>
        <w:t>Gegenargumente Kanzlei</w:t>
      </w:r>
    </w:p>
    <w:p>
      <w:pPr>
        <w:pStyle w:val="ListNumber"/>
      </w:pPr>
      <w:r>
        <w:rPr>
          <w:b/>
        </w:rPr>
        <w:t>Branchenkenntnis:</w:t>
      </w:r>
      <w:r>
        <w:t xml:space="preserve"> Heinz Marquardt verfügt über 20 Jahre Vertriebserfahrung in der nordbayerischen Maschinenbaubranche; sein Netzwerk generiert nachweislich EUR 1,8–2,2 Mio. Jahresvolumen. Ein Honorar von EUR 95.000 (= ca. 5% vom Umsatzvolumen) ist angemessen.</w:t>
      </w:r>
    </w:p>
    <w:p>
      <w:pPr>
        <w:pStyle w:val="ListNumber"/>
      </w:pPr>
      <w:r>
        <w:rPr>
          <w:b/>
        </w:rPr>
        <w:t>Vergleichbarkeit:</w:t>
      </w:r>
      <w:r>
        <w:t xml:space="preserve"> Die drei Vergleichsangebote des Prüfers sind nicht wirklich vergleichbar (keine Spezialisten für Maschinenbau-Netzwerke, keine nachgewiesenen Umsätze).</w:t>
      </w:r>
    </w:p>
    <w:p>
      <w:pPr>
        <w:pStyle w:val="ListNumber"/>
      </w:pPr>
      <w:r>
        <w:rPr>
          <w:b/>
        </w:rPr>
        <w:t>Dokumentation:</w:t>
      </w:r>
      <w:r>
        <w:t xml:space="preserve"> Leistungsnachweise liegen vor (monatliche Berichte, Kundenkontakte); der Prüfer hat diese nicht vollständig gewürdigt.</w:t>
      </w:r>
    </w:p>
    <w:p/>
    <w:p>
      <w:pPr>
        <w:pStyle w:val="Heading2"/>
      </w:pPr>
      <w:r>
        <w:rPr>
          <w:rFonts w:ascii="Times New Roman" w:hAnsi="Times New Roman"/>
        </w:rPr>
        <w:t>Zielkompromiss</w:t>
      </w:r>
    </w:p>
    <w:p>
      <w:pPr>
        <w:jc w:val="left"/>
      </w:pPr>
      <w:r>
        <w:t>Ziel ist eine vGA von EUR 20.000–25.000/Jahr (statt EUR 43.000), d.h. ein Fremdvergleichspreis von EUR 70.000–75.000/Jahr. Mehrsteuer dann ca. EUR 30.000–40.000 gesamt.</w:t>
      </w:r>
    </w:p>
    <w:p>
      <w:pPr>
        <w:jc w:val="left"/>
      </w:pPr>
      <w:r>
        <w:rPr>
          <w:b/>
        </w:rPr>
        <w:t>Quellen:</w:t>
      </w:r>
    </w:p>
    <w:p>
      <w:pPr>
        <w:pStyle w:val="ListBullet"/>
      </w:pPr>
      <w:r>
        <w:t>§ 8 Abs. 3 KStG — https://dejure.org/gesetze/KStG/8.html</w:t>
      </w:r>
    </w:p>
    <w:p>
      <w:pPr>
        <w:pStyle w:val="ListBullet"/>
      </w:pPr>
      <w:r>
        <w:t>§ 1 Abs. 2 AStG — https://dejure.org/gesetze/AStG/1.html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