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Feststellung 4: Vorsteuer Portugal-Lieferung</w:t>
      </w:r>
    </w:p>
    <w:p>
      <w:pPr>
        <w:jc w:val="left"/>
      </w:pPr>
      <w:r>
        <w:rPr>
          <w:b/>
        </w:rPr>
        <w:t>Feststellungs-Nr.:</w:t>
      </w:r>
      <w:r>
        <w:t xml:space="preserve"> BP-4</w:t>
      </w:r>
    </w:p>
    <w:p>
      <w:pPr>
        <w:jc w:val="left"/>
      </w:pPr>
      <w:r>
        <w:rPr>
          <w:b/>
        </w:rPr>
        <w:t>Steuerart:</w:t>
      </w:r>
      <w:r>
        <w:t xml:space="preserve"> Umsatzsteuer</w:t>
      </w:r>
    </w:p>
    <w:p>
      <w:pPr>
        <w:jc w:val="left"/>
      </w:pPr>
      <w:r>
        <w:rPr>
          <w:b/>
        </w:rPr>
        <w:t>Prüfungsjahr:</w:t>
      </w:r>
      <w:r>
        <w:t xml:space="preserve"> 2023</w:t>
      </w:r>
    </w:p>
    <w:p>
      <w:pPr>
        <w:jc w:val="left"/>
      </w:pPr>
      <w:r>
        <w:rPr>
          <w:b/>
        </w:rPr>
        <w:t>Vorsteuer-Betrag:</w:t>
      </w:r>
      <w:r>
        <w:t xml:space="preserve"> EUR 41.200</w:t>
      </w:r>
    </w:p>
    <w:p>
      <w:pPr>
        <w:jc w:val="left"/>
      </w:pPr>
      <w:r>
        <w:rPr>
          <w:b/>
        </w:rPr>
        <w:t>Prüfer:</w:t>
      </w:r>
      <w:r>
        <w:t xml:space="preserve"> Kelterbaum, unterstützt durch USt-Fachprüferin Dr. Monika Brendl</w:t>
      </w:r>
    </w:p>
    <w:p/>
    <w:p>
      <w:pPr>
        <w:pStyle w:val="Heading2"/>
      </w:pPr>
      <w:r>
        <w:rPr>
          <w:rFonts w:ascii="Times New Roman" w:hAnsi="Times New Roman"/>
        </w:rPr>
        <w:t>Sachverhalt</w:t>
      </w:r>
    </w:p>
    <w:p>
      <w:pPr>
        <w:jc w:val="left"/>
      </w:pPr>
      <w:r>
        <w:t>Die KG bezog 2023 Maschinenkomponenten von zwei portugiesischen Lieferanten (Metalurgia Nortense Lda., Porto, und Tecnicas Industriais SA, Coimbra). Für beide Lieferungen wurden Rechnungen ausgestellt, die einen Umsatzsteuerausweis von insgesamt EUR 41.200 enthielten.</w:t>
      </w:r>
    </w:p>
    <w:p>
      <w:pPr>
        <w:jc w:val="left"/>
      </w:pPr>
      <w:r>
        <w:rPr>
          <w:b/>
        </w:rPr>
        <w:t>Problem:</w:t>
      </w:r>
      <w:r>
        <w:t xml:space="preserve"> Die Lieferungen sind steuerlich als innergemeinschaftliche Erwerbe nach § 1a UStG zu behandeln. Bei innergemeinschaftlichen Lieferungen (B2B innerhalb EU) gilt das Bestimmungslandprinzip; die Lieferanten hätten steuerfrei liefern und die Steuerpflicht auf den deutschen Erwerber übertragen müssen (§ 4 Nr. 1b UStG für den Lieferanten; § 1a UStG für den Erwerber). Die portugiesischen Rechnungen weisen jedoch reguläre portugiesische MwSt (23%) aus, was auf eine Inlandsrechnung hindeutet.</w:t>
      </w:r>
    </w:p>
    <w:p/>
    <w:p>
      <w:pPr>
        <w:pStyle w:val="Heading2"/>
      </w:pPr>
      <w:r>
        <w:rPr>
          <w:rFonts w:ascii="Times New Roman" w:hAnsi="Times New Roman"/>
        </w:rPr>
        <w:t>Formale Mängel der Rechnungen</w:t>
      </w:r>
    </w:p>
    <w:p>
      <w:pPr>
        <w:jc w:val="left"/>
      </w:pPr>
      <w:r>
        <w:rPr>
          <w:b/>
        </w:rPr>
        <w:t>Rechnungsmangel 1 (Metalurgia Nortense):</w:t>
      </w:r>
    </w:p>
    <w:p>
      <w:pPr>
        <w:pStyle w:val="ListBullet"/>
      </w:pPr>
      <w:r>
        <w:t>Kein Hinweis auf innergemeinschaftliche Lieferung</w:t>
      </w:r>
    </w:p>
    <w:p>
      <w:pPr>
        <w:pStyle w:val="ListBullet"/>
      </w:pPr>
      <w:r>
        <w:t>Keine Umsatzsteuer-Identifikationsnummer des Empfängers auf der Rechnung</w:t>
      </w:r>
    </w:p>
    <w:p>
      <w:pPr>
        <w:pStyle w:val="ListBullet"/>
      </w:pPr>
      <w:r>
        <w:t>Kein Nachweis der innergemeinschaftlichen Versendung (Versendungsbeleg fehlt)</w:t>
      </w:r>
    </w:p>
    <w:p>
      <w:pPr>
        <w:jc w:val="left"/>
      </w:pPr>
      <w:r>
        <w:rPr>
          <w:b/>
        </w:rPr>
        <w:t>Rechnungsmangel 2 (Tecnicas Industriais):</w:t>
      </w:r>
    </w:p>
    <w:p>
      <w:pPr>
        <w:pStyle w:val="ListBullet"/>
      </w:pPr>
      <w:r>
        <w:t>Falscher Leistungsort auf Rechnung angegeben (Porto statt Augsburg)</w:t>
      </w:r>
    </w:p>
    <w:p>
      <w:pPr>
        <w:pStyle w:val="ListBullet"/>
      </w:pPr>
      <w:r>
        <w:t>USt-ID des Empfängers zwar genannt, aber Rechnung enthält portugiesische USt (Widerspruch)</w:t>
      </w:r>
    </w:p>
    <w:p/>
    <w:p>
      <w:pPr>
        <w:pStyle w:val="Heading2"/>
      </w:pPr>
      <w:r>
        <w:rPr>
          <w:rFonts w:ascii="Times New Roman" w:hAnsi="Times New Roman"/>
        </w:rPr>
        <w:t>Rechtliche Beurteilung</w:t>
      </w:r>
    </w:p>
    <w:p>
      <w:pPr>
        <w:jc w:val="left"/>
      </w:pPr>
      <w:r>
        <w:t>Gemäß § 15 Abs. 1 Satz 1 Nr. 1 UStG setzt der Vorsteuerabzug eine ordnungsgemäße Rechnung nach § 14 UStG voraus. Fehlen Pflichtangaben nach § 14 Abs. 4 UStG, ist der Vorsteuerabzug zu versagen, bis eine berichtigte Rechnung vorgelegt wird (§ 14 Abs. 6 UStG, Rückwirkung strittig).</w:t>
      </w:r>
    </w:p>
    <w:p>
      <w:pPr>
        <w:jc w:val="left"/>
      </w:pPr>
      <w:r>
        <w:t>Die Feststellung des Prüfers: Versagung des Vorsteuerabzugs EUR 41.200, da keine ordnungsgemäßen Rechnungen i.S.d. § 14 UStG vorliegen.</w:t>
      </w:r>
    </w:p>
    <w:p/>
    <w:p>
      <w:pPr>
        <w:pStyle w:val="Heading2"/>
      </w:pPr>
      <w:r>
        <w:rPr>
          <w:rFonts w:ascii="Times New Roman" w:hAnsi="Times New Roman"/>
        </w:rPr>
        <w:t>Kanzlei-Strategie</w:t>
      </w:r>
    </w:p>
    <w:p>
      <w:pPr>
        <w:jc w:val="left"/>
      </w:pPr>
      <w:r>
        <w:rPr>
          <w:b/>
        </w:rPr>
        <w:t>Sofortmaßnahme:</w:t>
      </w:r>
      <w:r>
        <w:t xml:space="preserve"> Berichtigte Rechnungen von beiden portugiesischen Lieferanten anfordern. Nach der EuGH-Rechtsprechung (C-518/14 — Senatex) können fehlerhafte Rechnungen mit Rückwirkung berichtigt werden, wenn die materiellen Voraussetzungen des Vorsteuerabzugs vorliegen. Allerdings ist die Rückwirkungsfrage nach deutschem UStG (§ 14c UStG) noch nicht vollständig geklärt.</w:t>
      </w:r>
    </w:p>
    <w:p>
      <w:pPr>
        <w:jc w:val="left"/>
      </w:pPr>
      <w:r>
        <w:rPr>
          <w:b/>
        </w:rPr>
        <w:t>Zweite Linie:</w:t>
      </w:r>
      <w:r>
        <w:t xml:space="preserve"> Soweit die portugiesische USt tatsächlich an das portugiesische Finanzamt abgeführt wurde, kann sie über das EU-Vorsteuererstattungsverfahren (§ 18g UStG) zurückgefordert werden. Dies führt wirtschaftlich zum gleichen Ergebnis.</w:t>
      </w:r>
    </w:p>
    <w:p/>
    <w:p>
      <w:pPr>
        <w:pStyle w:val="Heading2"/>
      </w:pPr>
      <w:r>
        <w:rPr>
          <w:rFonts w:ascii="Times New Roman" w:hAnsi="Times New Roman"/>
        </w:rPr>
        <w:t>Erwartetes Ergebnis</w:t>
      </w:r>
    </w:p>
    <w:p>
      <w:pPr>
        <w:jc w:val="left"/>
      </w:pPr>
      <w:r>
        <w:t>Bei rechtzeitiger Beschaffung berichtigter Rechnungen: Vorsteuer EUR 41.200 vollständig zu retten, allenfalls Zinsanfall für die Zwischenzeit (§ 233a AO, ca. 1,8% p.a. = ca. EUR 1.480 Zinsen).</w:t>
      </w:r>
    </w:p>
    <w:p>
      <w:pPr>
        <w:jc w:val="left"/>
      </w:pPr>
      <w:r>
        <w:rPr>
          <w:b/>
        </w:rPr>
        <w:t>Quellen:</w:t>
      </w:r>
    </w:p>
    <w:p>
      <w:pPr>
        <w:pStyle w:val="ListBullet"/>
      </w:pPr>
      <w:r>
        <w:t>§§ 14, 15 UStG — https://dejure.org/gesetze/UStG</w:t>
      </w:r>
    </w:p>
    <w:p>
      <w:pPr>
        <w:pStyle w:val="ListBullet"/>
      </w:pPr>
      <w:r>
        <w:t>§ 1a UStG — https://dejure.org/gesetze/UStG/1a.html</w:t>
      </w:r>
    </w:p>
    <w:p>
      <w:pPr>
        <w:pStyle w:val="ListBullet"/>
      </w:pPr>
      <w:r>
        <w:t>EuGH C-518/14 (Senatex) — https://openjur.de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