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Feststellung 5: Luxemburg-Tochter (§§ 7 ff. AStG, § 50d AStG)</w:t>
      </w:r>
    </w:p>
    <w:p>
      <w:pPr>
        <w:jc w:val="left"/>
      </w:pPr>
      <w:r>
        <w:rPr>
          <w:b/>
        </w:rPr>
        <w:t>Feststellungs-Nr.:</w:t>
      </w:r>
      <w:r>
        <w:t xml:space="preserve"> BP-5 (Schwergewicht)</w:t>
      </w:r>
    </w:p>
    <w:p>
      <w:pPr>
        <w:jc w:val="left"/>
      </w:pPr>
      <w:r>
        <w:rPr>
          <w:b/>
        </w:rPr>
        <w:t>Steuerarten:</w:t>
      </w:r>
      <w:r>
        <w:t xml:space="preserve"> KSt, ESt (Hinzurechnungsbesteuerung), ggf. Strafrecht § 370 AO</w:t>
      </w:r>
    </w:p>
    <w:p>
      <w:pPr>
        <w:jc w:val="left"/>
      </w:pPr>
      <w:r>
        <w:rPr>
          <w:b/>
        </w:rPr>
        <w:t>Prüfungsjahre:</w:t>
      </w:r>
      <w:r>
        <w:t xml:space="preserve"> 2020–2024</w:t>
      </w:r>
    </w:p>
    <w:p>
      <w:pPr>
        <w:jc w:val="left"/>
      </w:pPr>
      <w:r>
        <w:rPr>
          <w:b/>
        </w:rPr>
        <w:t>Beteiligte:</w:t>
      </w:r>
      <w:r>
        <w:t xml:space="preserve"> Dr. Vellbruck-Steinheim (federführend), Roosendaal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Die Marquardt Luxembourg S.à r.l. (nachfolgend: LuxCo) wurde 2018 auf Anraten eines Schweizer Beraters (Fiduciaire Alpina, Zürich) gegründet. Sie ist zu 100% im Eigentum der Marquardt Verwaltungs-GmbH (Komplementär). LuxCo schloss mit der KG einen Agenturvertrag: LuxCo erhält Provisionen für die Vermittlung von Geschäften im südeuropäischen Markt.</w:t>
      </w:r>
    </w:p>
    <w:p>
      <w:pPr>
        <w:jc w:val="left"/>
      </w:pPr>
      <w:r>
        <w:rPr>
          <w:b/>
        </w:rPr>
        <w:t>Tatsächliche Substanz der LuxCo:</w:t>
      </w:r>
    </w:p>
    <w:p>
      <w:pPr>
        <w:pStyle w:val="ListBullet"/>
      </w:pPr>
      <w:r>
        <w:t>Keine eigenen Angestellten</w:t>
      </w:r>
    </w:p>
    <w:p>
      <w:pPr>
        <w:pStyle w:val="ListBullet"/>
      </w:pPr>
      <w:r>
        <w:t>Kein eigenes Büro in Luxemburg (Registered Office bei Fiduciaire Dupont S.A., Luxemburg-Stadt)</w:t>
      </w:r>
    </w:p>
    <w:p>
      <w:pPr>
        <w:pStyle w:val="ListBullet"/>
      </w:pPr>
      <w:r>
        <w:t>GF: Reinhard Marquardt-Eichenmüller (Wohnsitz Augsburg)</w:t>
      </w:r>
    </w:p>
    <w:p>
      <w:pPr>
        <w:pStyle w:val="ListBullet"/>
      </w:pPr>
      <w:r>
        <w:t>Alle Kundenkontakte und Vertriebsaktivitäten werden faktisch durch Mitarbeiter der KG in Augsburg durchgeführt</w:t>
      </w:r>
    </w:p>
    <w:p>
      <w:pPr>
        <w:pStyle w:val="ListBullet"/>
      </w:pPr>
      <w:r>
        <w:t>LuxCo-Bankkonto: BGL BNP Paribas, Luxemburg; Kontoauszüge belegen lediglich Provisionseingänge und Weiterleitungen nach Augsburg</w:t>
      </w:r>
    </w:p>
    <w:p/>
    <w:p>
      <w:pPr>
        <w:pStyle w:val="Heading2"/>
      </w:pPr>
      <w:r>
        <w:rPr>
          <w:rFonts w:ascii="Times New Roman" w:hAnsi="Times New Roman"/>
        </w:rPr>
        <w:t>Hinzurechnungsbesteuerung §§ 7–14 AStG</w:t>
      </w:r>
    </w:p>
    <w:p>
      <w:pPr>
        <w:jc w:val="left"/>
      </w:pPr>
      <w:r>
        <w:t>Nach § 7 Abs. 1 AStG sind Einkünfte einer ausländischen Gesellschaft, an der ein Inländer zu mehr als 50% beteiligt ist, hinzuzurechnen, wenn:</w:t>
      </w:r>
    </w:p>
    <w:p>
      <w:pPr>
        <w:pStyle w:val="ListBullet"/>
      </w:pPr>
      <w:r>
        <w:t>die Gesellschaft passive Einkünfte erzielt (§ 8 Abs. 1 AStG: Provisionen gelten als Zwischeneinkünfte)</w:t>
      </w:r>
    </w:p>
    <w:p>
      <w:pPr>
        <w:pStyle w:val="ListBullet"/>
      </w:pPr>
      <w:r>
        <w:t>die ausländische Steuerbelastung weniger als 25% beträgt (luxemburgische KSt: ca. 17% — unterhalb der Freigrenze)</w:t>
      </w:r>
    </w:p>
    <w:p>
      <w:pPr>
        <w:jc w:val="left"/>
      </w:pPr>
      <w:r>
        <w:t>Die Provisionen von insgesamt EUR 2.320.000 (2020–2024) sind daher als Hinzurechnungsbetrag zu qualifizieren.</w:t>
      </w:r>
    </w:p>
    <w:p>
      <w:pPr>
        <w:jc w:val="left"/>
      </w:pPr>
      <w:r>
        <w:rPr>
          <w:b/>
        </w:rPr>
        <w:t>Gesamthinzurechnungsbetrag 2020–2024:</w:t>
      </w:r>
      <w:r>
        <w:t xml:space="preserve"> EUR 2.320.000</w:t>
      </w:r>
    </w:p>
    <w:p>
      <w:pPr>
        <w:jc w:val="left"/>
      </w:pPr>
      <w:r>
        <w:rPr>
          <w:b/>
        </w:rPr>
        <w:t>KSt 15% + GewSt 15% + SolZ ≈ 31%:</w:t>
      </w:r>
      <w:r>
        <w:t xml:space="preserve"> EUR 719.200 Nachsteuer (grobe Schätzung, vor Anrechnung LuxCo-Steuer)</w:t>
      </w:r>
    </w:p>
    <w:p/>
    <w:p>
      <w:pPr>
        <w:pStyle w:val="Heading2"/>
      </w:pPr>
      <w:r>
        <w:rPr>
          <w:rFonts w:ascii="Times New Roman" w:hAnsi="Times New Roman"/>
        </w:rPr>
        <w:t>§ 50d Abs. 3 AStG (Anti-Treaty-Shopping)</w:t>
      </w:r>
    </w:p>
    <w:p>
      <w:pPr>
        <w:jc w:val="left"/>
      </w:pPr>
      <w:r>
        <w:t>Sofern die LuxCo für die Provisionen das Doppelbesteuerungsabkommen Deutschland-Luxemburg in Anspruch nimmt, ist § 50d Abs. 3 AStG zu prüfen. Danach kann ein ausländisches Unternehmen DBA-Entlastungen nicht beanspruchen, wenn es über keine ausreichende wirtschaftliche Substanz verfügt. Die LuxCo erfüllt den Substanztest evident nicht.</w:t>
      </w:r>
    </w:p>
    <w:p/>
    <w:p>
      <w:pPr>
        <w:pStyle w:val="Heading2"/>
      </w:pPr>
      <w:r>
        <w:rPr>
          <w:rFonts w:ascii="Times New Roman" w:hAnsi="Times New Roman"/>
        </w:rPr>
        <w:t>Strafrechtsrelevanz</w:t>
      </w:r>
    </w:p>
    <w:p>
      <w:pPr>
        <w:jc w:val="left"/>
      </w:pPr>
      <w:r>
        <w:t>Entscheidend: War dem GF bekannt, dass die LuxCo-Konstruktion steuerrechtlich unzulässig ist? Der Schweizer Berater hat laut Mandant eine positive Rechtsmeinung erteilt. Die Frage der Steuerhinterziehung i.S.v. § 370 AO (Vorsatz) vs. leichtfertiger Steuerverkürzung i.S.v. § 378 AO (Fahrlässigkeit) ist hier zentral.</w:t>
      </w:r>
    </w:p>
    <w:p>
      <w:pPr>
        <w:jc w:val="left"/>
      </w:pPr>
      <w:r>
        <w:rPr>
          <w:b/>
        </w:rPr>
        <w:t>BFH-Referenz:</w:t>
      </w:r>
      <w:r>
        <w:t xml:space="preserve"> BFH I R 36/14 (bundesfinanzhof.de) — Zu Anforderungen an die wirtschaftliche Substanz ausländischer Gesellschaften im Rahmen des AStG.</w:t>
      </w:r>
    </w:p>
    <w:p/>
    <w:p>
      <w:pPr>
        <w:pStyle w:val="Heading2"/>
      </w:pPr>
      <w:r>
        <w:rPr>
          <w:rFonts w:ascii="Times New Roman" w:hAnsi="Times New Roman"/>
        </w:rPr>
        <w:t>Verteidigungsansätze</w:t>
      </w:r>
    </w:p>
    <w:p>
      <w:pPr>
        <w:pStyle w:val="ListNumber"/>
      </w:pPr>
      <w:r>
        <w:t>Rückwirkende Substanzschaffung für LuxCo (Einstellung eines lokalen Mitarbeiters in Luxemburg) — schützt nur für die Zukunft, nicht rückwirkend.</w:t>
      </w:r>
    </w:p>
    <w:p>
      <w:pPr>
        <w:pStyle w:val="ListNumber"/>
      </w:pPr>
      <w:r>
        <w:t>Anpassung der Verrechnungspreisdokumentation: Nachweis, dass ein Teil der Vertriebsleistung tatsächlich durch LuxCo erbracht wurde (Reiseberichte GF nach Lissabon/Porto auffindbar?).</w:t>
      </w:r>
    </w:p>
    <w:p>
      <w:pPr>
        <w:pStyle w:val="ListNumber"/>
      </w:pPr>
      <w:r>
        <w:t>Selbstanzeige gem. § 371 AO für die Luxemburg-Konten (s. Aktenstück 14).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§§ 7–14 AStG — https://dejure.org/gesetze/AStG</w:t>
      </w:r>
    </w:p>
    <w:p>
      <w:pPr>
        <w:pStyle w:val="ListBullet"/>
      </w:pPr>
      <w:r>
        <w:t>§ 50d AStG — https://dejure.org/gesetze/AStG/50d.html</w:t>
      </w:r>
    </w:p>
    <w:p>
      <w:pPr>
        <w:pStyle w:val="ListBullet"/>
      </w:pPr>
      <w:r>
        <w:t>BFH I R 36/14 — https://www.bundesfinanzhof.de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