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Feststellung 6: Kassenführung Filiale Augsburg-Oberhausen</w:t>
      </w:r>
    </w:p>
    <w:p>
      <w:pPr>
        <w:jc w:val="left"/>
      </w:pPr>
      <w:r>
        <w:rPr>
          <w:b/>
        </w:rPr>
        <w:t>Feststellungs-Nr.:</w:t>
      </w:r>
      <w:r>
        <w:t xml:space="preserve"> BP-6</w:t>
      </w:r>
    </w:p>
    <w:p>
      <w:pPr>
        <w:jc w:val="left"/>
      </w:pPr>
      <w:r>
        <w:rPr>
          <w:b/>
        </w:rPr>
        <w:t>Steuerart:</w:t>
      </w:r>
      <w:r>
        <w:t xml:space="preserve"> KSt / Schätzung nach § 162 AO</w:t>
      </w:r>
    </w:p>
    <w:p>
      <w:pPr>
        <w:jc w:val="left"/>
      </w:pPr>
      <w:r>
        <w:rPr>
          <w:b/>
        </w:rPr>
        <w:t>Prüfungsjahre:</w:t>
      </w:r>
      <w:r>
        <w:t xml:space="preserve"> 2021–2024</w:t>
      </w:r>
    </w:p>
    <w:p>
      <w:pPr>
        <w:jc w:val="left"/>
      </w:pPr>
      <w:r>
        <w:rPr>
          <w:b/>
        </w:rPr>
        <w:t>Geprüfter Betrieb:</w:t>
      </w:r>
      <w:r>
        <w:t xml:space="preserve"> Filiale Augsburg-Oberhausen, Dieselstraße 18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Die Filiale Augsburg-Oberhausen betreibt einen kleinen Verkaufsraum für Ersatzteile und Maschinenzubehör (Barverkäufe). Die Kasse wird mit einem veralteten Kassensystem (Software aus 2012) geführt. Der Prüfer stellt folgende Mängel fest:</w:t>
      </w:r>
    </w:p>
    <w:p>
      <w:pPr>
        <w:pStyle w:val="Heading3"/>
      </w:pPr>
      <w:r>
        <w:rPr>
          <w:rFonts w:ascii="Times New Roman" w:hAnsi="Times New Roman"/>
        </w:rPr>
        <w:t>Festgestellte Kassenführungsmängel</w:t>
      </w:r>
    </w:p>
    <w:p>
      <w:pPr>
        <w:pStyle w:val="ListNumber"/>
      </w:pPr>
      <w:r>
        <w:rPr>
          <w:b/>
        </w:rPr>
        <w:t>Kein Z-Bericht täglich:</w:t>
      </w:r>
      <w:r>
        <w:t xml:space="preserve"> Für 2021 fehlen Z-Berichte an 47 Werktagen; für 2022 an 31 Werktagen.</w:t>
      </w:r>
    </w:p>
    <w:p>
      <w:pPr>
        <w:pStyle w:val="ListNumber"/>
      </w:pPr>
      <w:r>
        <w:rPr>
          <w:b/>
        </w:rPr>
        <w:t>Negative Kassenbestände:</w:t>
      </w:r>
      <w:r>
        <w:t xml:space="preserve"> In der elektronischen Kassendatei weist die Kasse an 8 Tagen (2022) und 5 Tagen (2023) negative Bestände aus — sachlich unmöglich.</w:t>
      </w:r>
    </w:p>
    <w:p>
      <w:pPr>
        <w:pStyle w:val="ListNumber"/>
      </w:pPr>
      <w:r>
        <w:rPr>
          <w:b/>
        </w:rPr>
        <w:t>Fehlende Kassensturzprotokoll:</w:t>
      </w:r>
      <w:r>
        <w:t xml:space="preserve"> Das tägliche Kassensturzprotokoll (Soll-Ist-Abgleich) fehlt vollständig für 2021.</w:t>
      </w:r>
    </w:p>
    <w:p>
      <w:pPr>
        <w:pStyle w:val="ListNumber"/>
      </w:pPr>
      <w:r>
        <w:rPr>
          <w:b/>
        </w:rPr>
        <w:t>Fehlende Verfahrensdokumentation:</w:t>
      </w:r>
      <w:r>
        <w:t xml:space="preserve"> Die Verfahrensdokumentation gem. GoBD Tz. 151 ff. fehlt für das Kassensystem.</w:t>
      </w:r>
    </w:p>
    <w:p>
      <w:pPr>
        <w:pStyle w:val="ListNumber"/>
      </w:pPr>
      <w:r>
        <w:rPr>
          <w:b/>
        </w:rPr>
        <w:t>Gelöschte Transaktionen:</w:t>
      </w:r>
      <w:r>
        <w:t xml:space="preserve"> Forensische Auswertung der Kassendatei zeigt 14 gelöschte Transaktionsdatensätze (2022).</w:t>
      </w:r>
    </w:p>
    <w:p/>
    <w:p>
      <w:pPr>
        <w:pStyle w:val="Heading2"/>
      </w:pPr>
      <w:r>
        <w:rPr>
          <w:rFonts w:ascii="Times New Roman" w:hAnsi="Times New Roman"/>
        </w:rPr>
        <w:t>Rechtliche Konsequenzen</w:t>
      </w:r>
    </w:p>
    <w:p>
      <w:pPr>
        <w:jc w:val="left"/>
      </w:pPr>
      <w:r>
        <w:t>Gemäß § 158 AO gilt die Buchführung als nicht ordnungsgemäß, wenn die Verstöße gegen § 146 AO i.V.m. den GoBD erheblich sind. Negative Kassenbestände und gelöschte Datensätze begründen nach ständiger BFH-Rechtsprechung (BFH X R 20/13) die Schätzungsbefugnis des Finanzamts nach § 162 Abs. 2 Satz 2 AO.</w:t>
      </w:r>
    </w:p>
    <w:p>
      <w:pPr>
        <w:jc w:val="left"/>
      </w:pPr>
      <w:r>
        <w:t>Der Prüfer schätzt einen Mehrumsatz von EUR 15.000/Jahr (2021–2024) durch Hinzuschätzung von 5% des Filialbarverkaufsumsatzes (EUR 300.000/Jahr). Steuerliche Auswirkung: EUR 60.000 x 30% = EUR 18.000 KSt/GewSt über 4 Jahre.</w:t>
      </w:r>
    </w:p>
    <w:p/>
    <w:p>
      <w:pPr>
        <w:pStyle w:val="Heading2"/>
      </w:pPr>
      <w:r>
        <w:rPr>
          <w:rFonts w:ascii="Times New Roman" w:hAnsi="Times New Roman"/>
        </w:rPr>
        <w:t>Gegenmaßnahmen</w:t>
      </w:r>
    </w:p>
    <w:p>
      <w:pPr>
        <w:pStyle w:val="ListBullet"/>
      </w:pPr>
      <w:r>
        <w:t>Sofortige Umstellung auf GoBD-konformes Kassensystem (TSE-Pflicht seit 01.01.2021 — Fristverlängerung bereits abgelaufen).</w:t>
      </w:r>
    </w:p>
    <w:p>
      <w:pPr>
        <w:pStyle w:val="ListBullet"/>
      </w:pPr>
      <w:r>
        <w:t>Rückwirkende Vorlage aller verfügbaren Kassenberichte, Tagesprotokolle und Zählberichte.</w:t>
      </w:r>
    </w:p>
    <w:p>
      <w:pPr>
        <w:pStyle w:val="ListBullet"/>
      </w:pPr>
      <w:r>
        <w:t>Argument gegen gelöschte Datensätze: technischer Fehler der alten Software (Nachweis durch IT-Gutachter erbringen).</w:t>
      </w:r>
    </w:p>
    <w:p/>
    <w:p>
      <w:pPr>
        <w:pStyle w:val="Heading2"/>
      </w:pPr>
      <w:r>
        <w:rPr>
          <w:rFonts w:ascii="Times New Roman" w:hAnsi="Times New Roman"/>
        </w:rPr>
        <w:t>Einschätzung</w:t>
      </w:r>
    </w:p>
    <w:p>
      <w:pPr>
        <w:jc w:val="left"/>
      </w:pPr>
      <w:r>
        <w:t>Die Schätzungsbefugnis ist dem Grunde nach nicht abwehrbar. Ziel ist die Reduzierung des Schätzungsbetrags auf EUR 8.000–10.000/Jahr. Mehrsteuer ca. EUR 10.000–12.000 gesamt.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146 AO — https://dejure.org/gesetze/AO/146.html</w:t>
      </w:r>
    </w:p>
    <w:p>
      <w:pPr>
        <w:pStyle w:val="ListBullet"/>
      </w:pPr>
      <w:r>
        <w:t>§ 158 AO — https://dejure.org/gesetze/AO/158.html</w:t>
      </w:r>
    </w:p>
    <w:p>
      <w:pPr>
        <w:pStyle w:val="ListBullet"/>
      </w:pPr>
      <w:r>
        <w:t>§ 162 AO — https://dejure.org/gesetze/AO/162.html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