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12 — Geänderter Steuerbescheid 2022</w:t>
      </w:r>
    </w:p>
    <w:p>
      <w:pPr>
        <w:jc w:val="left"/>
      </w:pPr>
      <w:r>
        <w:rPr>
          <w:b/>
        </w:rPr>
        <w:t>Dokument:</w:t>
      </w:r>
      <w:r>
        <w:t xml:space="preserve"> Analyse geänderter Körperschaftsteuerbescheid 2022 und gesonderter Feststellungsbescheid 2022</w:t>
      </w:r>
    </w:p>
    <w:p>
      <w:pPr>
        <w:jc w:val="left"/>
      </w:pPr>
      <w:r>
        <w:rPr>
          <w:b/>
        </w:rPr>
        <w:t>FA Augsburg-Stadt:</w:t>
      </w:r>
      <w:r>
        <w:t xml:space="preserve"> Steuernummer 142/9999/1234</w:t>
      </w:r>
    </w:p>
    <w:p>
      <w:pPr>
        <w:jc w:val="left"/>
      </w:pPr>
      <w:r>
        <w:rPr>
          <w:b/>
        </w:rPr>
        <w:t>Datum Bescheiderlass:</w:t>
      </w:r>
      <w:r>
        <w:t xml:space="preserve"> voraussichtlich September 2026</w:t>
      </w:r>
    </w:p>
    <w:p>
      <w:pPr>
        <w:jc w:val="left"/>
      </w:pPr>
      <w:r>
        <w:rPr>
          <w:b/>
        </w:rPr>
        <w:t>Einspruchsfrist:</w:t>
      </w:r>
      <w:r>
        <w:t xml:space="preserve"> 1 Monat ab Bekanntgabe (§ 355 Abs. 1 AO)</w:t>
      </w:r>
    </w:p>
    <w:p/>
    <w:p>
      <w:pPr>
        <w:pStyle w:val="Heading2"/>
      </w:pPr>
      <w:r>
        <w:rPr>
          <w:rFonts w:ascii="Times New Roman" w:hAnsi="Times New Roman"/>
        </w:rPr>
        <w:t>Änderungsumfang laut angekündigtem Prüfungsbericht</w:t>
      </w:r>
    </w:p>
    <w:p>
      <w:pPr>
        <w:jc w:val="left"/>
      </w:pPr>
      <w:r>
        <w:t>Der Prüfungsbericht (Entwurf) sieht für das Jahr 2022 folgende Änderungen vor:</w:t>
      </w:r>
    </w:p>
    <w:p>
      <w:pPr>
        <w:pStyle w:val="Heading3"/>
      </w:pPr>
      <w:r>
        <w:rPr>
          <w:rFonts w:ascii="Times New Roman" w:hAnsi="Times New Roman"/>
        </w:rPr>
        <w:t>Gewerbesteuer und Körperschaftsteuer 2022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Bisher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Neu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Differenz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Gewinn laut Steuererklärung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1.240.000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1.240.000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vGA Pkw (BP-1)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14.160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+14.160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vGA Wohnung Mallorca (BP-2)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16.800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+16.800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vGA Fremdvergleich Bruder (BP-3)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43.000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+43.000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Hinzurechnung Luxemburg AStG (BP-5)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510.000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+510.000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Kassenhinzuschätzung (BP-6)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+10.000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Zu versteuerndes Einkommen neu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1.240.000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1.833.960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+593.960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Steuerberechnung 2022 (gerundet)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Steuerart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Bisherige Steuer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Neue Steuer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Mehr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Körperschaftsteuer (15%)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186.000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275.094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89.094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Solidaritätszuschlag (5,5%)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10.230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15.130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4.900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Gewerbesteuer (Hebesatz 440%)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170.000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250.000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80.000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Summe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366.230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540.224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173.994</w:t>
            </w:r>
          </w:p>
        </w:tc>
      </w:tr>
    </w:tbl>
    <w:p>
      <w:pPr>
        <w:jc w:val="left"/>
      </w:pPr>
      <w:r>
        <w:t>Zinsen gem. § 233a AO: Zinslauf ab 01.10.2023 bis Bescheiderlass (ca. 36 Monate x 1,8% p.a. x EUR 173.994 = ca. EUR 9.400).</w:t>
      </w:r>
    </w:p>
    <w:p/>
    <w:p>
      <w:pPr>
        <w:pStyle w:val="Heading2"/>
      </w:pPr>
      <w:r>
        <w:rPr>
          <w:rFonts w:ascii="Times New Roman" w:hAnsi="Times New Roman"/>
        </w:rPr>
        <w:t>Bescheidänderungsgrundlage</w:t>
      </w:r>
    </w:p>
    <w:p>
      <w:pPr>
        <w:jc w:val="left"/>
      </w:pPr>
      <w:r>
        <w:t>Der Bescheid für 2022 ergeht gem. § 164 Abs. 2 AO unter dem Vorbehalt der Nachprüfung. Nach Abschluss der Betriebsprüfung wird er nach § 164 Abs. 2 AO aufgehoben und durch einen endgültigen Bescheid ersetzt.</w:t>
      </w:r>
    </w:p>
    <w:p/>
    <w:p>
      <w:pPr>
        <w:pStyle w:val="Heading2"/>
      </w:pPr>
      <w:r>
        <w:rPr>
          <w:rFonts w:ascii="Times New Roman" w:hAnsi="Times New Roman"/>
        </w:rPr>
        <w:t>Empfehlung</w:t>
      </w:r>
    </w:p>
    <w:p>
      <w:pPr>
        <w:jc w:val="left"/>
      </w:pPr>
      <w:r>
        <w:t>Einspruch gegen den geänderten Bescheid 2022 ist einzulegen — insbesondere gegen die Hinzurechnungsbesteuerung Luxemburg (BP-5) und die vGA Fremdvergleich (BP-3). Gleichzeitig ist Aussetzung der Vollziehung (AdV) nach § 361 Abs. 2 AO zu beantragen, um die Steuerzahlung bis zur Klärung aufzuschieben.</w:t>
      </w:r>
    </w:p>
    <w:p>
      <w:pPr>
        <w:jc w:val="left"/>
      </w:pPr>
      <w:r>
        <w:rPr>
          <w:b/>
        </w:rPr>
        <w:t>Quellen:</w:t>
      </w:r>
    </w:p>
    <w:p>
      <w:pPr>
        <w:pStyle w:val="ListBullet"/>
      </w:pPr>
      <w:r>
        <w:t>§ 164 AO — https://dejure.org/gesetze/AO/164.html</w:t>
      </w:r>
    </w:p>
    <w:p>
      <w:pPr>
        <w:pStyle w:val="ListBullet"/>
      </w:pPr>
      <w:r>
        <w:t>§ 233a AO — https://dejure.org/gesetze/AO/233a.html</w:t>
      </w:r>
    </w:p>
    <w:p>
      <w:pPr>
        <w:pStyle w:val="ListBullet"/>
      </w:pPr>
      <w:r>
        <w:t>§ 355 AO — https://dejure.org/gesetze/AO/355.html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