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Selbstanzeige § 371 AO: Luxemburg-Konstellation</w:t>
      </w:r>
    </w:p>
    <w:p>
      <w:pPr>
        <w:jc w:val="left"/>
      </w:pPr>
      <w:r>
        <w:rPr>
          <w:b/>
        </w:rPr>
        <w:t>Verfahren:</w:t>
      </w:r>
      <w:r>
        <w:t xml:space="preserve"> Selbstanzeige wegen nicht erklärter Einkünfte und Hinzurechnungsbeträge (§§ 7 ff. AStG), Kapitalerträge auf luxemburgischen Privatkonten</w:t>
      </w:r>
    </w:p>
    <w:p>
      <w:pPr>
        <w:jc w:val="left"/>
      </w:pPr>
      <w:r>
        <w:rPr>
          <w:b/>
        </w:rPr>
        <w:t>Entwurfsstatus:</w:t>
      </w:r>
      <w:r>
        <w:t xml:space="preserve"> Vorläufiger Entwurf, intern abgestimmt 19.06.2026</w:t>
      </w:r>
    </w:p>
    <w:p>
      <w:pPr>
        <w:jc w:val="left"/>
      </w:pPr>
      <w:r>
        <w:rPr>
          <w:b/>
        </w:rPr>
        <w:t>Bearbeiterin:</w:t>
      </w:r>
      <w:r>
        <w:t xml:space="preserve"> Dr. Cornelia Vellbruck-Steinheim</w:t>
      </w:r>
    </w:p>
    <w:p/>
    <w:p>
      <w:pPr>
        <w:pStyle w:val="Heading2"/>
      </w:pPr>
      <w:r>
        <w:rPr>
          <w:rFonts w:ascii="Times New Roman" w:hAnsi="Times New Roman"/>
        </w:rPr>
        <w:t>Sachverhalt Selbstanzeigekontext</w:t>
      </w:r>
    </w:p>
    <w:p>
      <w:pPr>
        <w:jc w:val="left"/>
      </w:pPr>
      <w:r>
        <w:t>Im Rahmen der Betriebsprüfung wurde bekannt, dass GF Reinhard Marquardt-Eichenmüller neben den LuxCo-Dividenden auch persönliche Kapitalerträge auf einem privaten Luxemburger Konto (BGL BNP Paribas, Konto-Nr. LU89 1234 5678 9012 3456) erzielt hat, die nicht in den deutschen Steuererklärungen deklariert wurden.</w:t>
      </w:r>
    </w:p>
    <w:p>
      <w:pPr>
        <w:jc w:val="left"/>
      </w:pPr>
      <w:r>
        <w:t>Die Kapitalerträge (Zinsen, Dividenden aus luxemburgischen Investmentfonds) wurden seit 2018 nicht erklärt. Das FA hat im Rahmen der Betriebsprüfung Zugriff auf Kontounterlagen angedroht; eine Kontrollmitteilung von Luxemburg liegt möglicherweise bereits vor.</w:t>
      </w:r>
    </w:p>
    <w:p/>
    <w:p>
      <w:pPr>
        <w:pStyle w:val="Heading2"/>
      </w:pPr>
      <w:r>
        <w:rPr>
          <w:rFonts w:ascii="Times New Roman" w:hAnsi="Times New Roman"/>
        </w:rPr>
        <w:t>Voraussetzungen § 371 AO</w:t>
      </w:r>
    </w:p>
    <w:p>
      <w:pPr>
        <w:jc w:val="left"/>
      </w:pPr>
      <w:r>
        <w:t>Die strafbefreiende Selbstanzeige nach § 371 AO erfordert:</w:t>
      </w:r>
    </w:p>
    <w:p>
      <w:pPr>
        <w:pStyle w:val="ListNumber"/>
      </w:pPr>
      <w:r>
        <w:rPr>
          <w:b/>
        </w:rPr>
        <w:t>Vollständigkeit</w:t>
      </w:r>
      <w:r>
        <w:t xml:space="preserve"> (§ 371 Abs. 1 AO): Berichtigung aller unrichtigen, unvollständigen oder unterlassenen Angaben innerhalb einer Steuerart.</w:t>
      </w:r>
    </w:p>
    <w:p>
      <w:pPr>
        <w:pStyle w:val="ListNumber"/>
      </w:pPr>
      <w:r>
        <w:rPr>
          <w:b/>
        </w:rPr>
        <w:t>Nachentrichten</w:t>
      </w:r>
      <w:r>
        <w:t xml:space="preserve"> (§ 371 Abs. 3 AO): Zahlung der hinterzogenen Steuern zuzüglich Zinsen (§ 235 AO: Hinterziehungszinsen 1,8% p.a.) innerhalb der gesetzten Frist.</w:t>
      </w:r>
    </w:p>
    <w:p>
      <w:pPr>
        <w:pStyle w:val="ListNumber"/>
      </w:pPr>
      <w:r>
        <w:rPr>
          <w:b/>
        </w:rPr>
        <w:t>Sperrwirkung nicht eingetreten</w:t>
      </w:r>
      <w:r>
        <w:t xml:space="preserve"> (§ 371 Abs. 2 AO): Die Selbstanzeige ist gesperrt, wenn eine Betriebsprüfung bereits angeordnet wurde — ABER: Sperrwirkung nach § 371 Abs. 2 Nr. 1a AO betrifft nur die von der Prüfungsanordnung erfassten Steuerarten und -zeiträume.</w:t>
      </w:r>
    </w:p>
    <w:p/>
    <w:p>
      <w:pPr>
        <w:pStyle w:val="Heading2"/>
      </w:pPr>
      <w:r>
        <w:rPr>
          <w:rFonts w:ascii="Times New Roman" w:hAnsi="Times New Roman"/>
        </w:rPr>
        <w:t>Analyse der Sperrwirkung</w:t>
      </w:r>
    </w:p>
    <w:p>
      <w:pPr>
        <w:jc w:val="left"/>
      </w:pPr>
      <w:r>
        <w:t>Die Prüfungsanordnung vom 27.01.2026 erstreckt sich auf die Betriebssteuern der KG sowie die ESt des GF. Die Kapitalerträge auf dem Privatkonto sind im Gegenstand der Prüfungsanordnung nicht ausdrücklich erfasst.</w:t>
      </w:r>
    </w:p>
    <w:p>
      <w:pPr>
        <w:jc w:val="left"/>
      </w:pPr>
      <w:r>
        <w:rPr>
          <w:b/>
        </w:rPr>
        <w:t>Vertretbare Rechtsauffassung Dr. Vellbruck-Steinheim:</w:t>
      </w:r>
      <w:r>
        <w:t xml:space="preserve"> Da das Privatkonto nicht zum geprüften Betrieb gehört und die Prüfungsanordnung sich auf betriebliche Einkünfte bezieht, ist die Sperrwirkung für die Kapitaleinkünfte nicht eingetreten. Eine Selbstanzeige für die Kapitalerträge ist noch möglich.</w:t>
      </w:r>
    </w:p>
    <w:p>
      <w:pPr>
        <w:jc w:val="left"/>
      </w:pPr>
      <w:r>
        <w:rPr>
          <w:b/>
        </w:rPr>
        <w:t>Risiko:</w:t>
      </w:r>
      <w:r>
        <w:t xml:space="preserve"> Das FA könnte die Prüfungsanordnung so auslegen, dass sie auch die persönliche ESt des GF vollständig erfasst (was tatsächlich in der Anordnung steht: "ESt GF 2020–2024"). In diesem Fall wäre die Selbstanzeige durch § 371 Abs. 2 Nr. 1a AO gesperrt.</w:t>
      </w:r>
    </w:p>
    <w:p/>
    <w:p>
      <w:pPr>
        <w:pStyle w:val="Heading2"/>
      </w:pPr>
      <w:r>
        <w:rPr>
          <w:rFonts w:ascii="Times New Roman" w:hAnsi="Times New Roman"/>
        </w:rPr>
        <w:t>Empfehlung</w:t>
      </w:r>
    </w:p>
    <w:p>
      <w:pPr>
        <w:jc w:val="left"/>
      </w:pPr>
      <w:r>
        <w:t>Selbstanzeige unverzüglich erstatten, mit dem Argument, dass die Kapitalerträge auf dem Luxemburger Privatkonto nicht Gegenstand der Betriebsprüfung sind. Gleichzeitig Straffreiheitsantrag gem. § 371 Abs. 2 Satz 2 AO prüfen (bei Hinterziehungsbeträgen über EUR 25.000: Zuschlag 10–20% auf Nachzahlungsbetrag als Bedingung für Straffreiheit).</w:t>
      </w:r>
    </w:p>
    <w:p/>
    <w:p>
      <w:pPr>
        <w:pStyle w:val="Heading2"/>
      </w:pPr>
      <w:r>
        <w:rPr>
          <w:rFonts w:ascii="Times New Roman" w:hAnsi="Times New Roman"/>
        </w:rPr>
        <w:t>Schätzung Nachzahlungsbetrag (Kapitalerträge)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Jahr</w:t>
            </w:r>
          </w:p>
        </w:tc>
        <w:tc>
          <w:tcPr>
            <w:tcW w:type="dxa" w:w="1814"/>
          </w:tcPr>
          <w:p>
            <w:r>
              <w:rPr>
                <w:rFonts w:ascii="Times New Roman" w:hAnsi="Times New Roman"/>
                <w:b/>
                <w:sz w:val="20"/>
              </w:rPr>
              <w:t>Kapitalertrag EUR</w:t>
            </w:r>
          </w:p>
        </w:tc>
        <w:tc>
          <w:tcPr>
            <w:tcW w:type="dxa" w:w="1814"/>
          </w:tcPr>
          <w:p>
            <w:r>
              <w:rPr>
                <w:rFonts w:ascii="Times New Roman" w:hAnsi="Times New Roman"/>
                <w:b/>
                <w:sz w:val="20"/>
              </w:rPr>
              <w:t>KapSt 25% EUR</w:t>
            </w:r>
          </w:p>
        </w:tc>
        <w:tc>
          <w:tcPr>
            <w:tcW w:type="dxa" w:w="1814"/>
          </w:tcPr>
          <w:p>
            <w:r>
              <w:rPr>
                <w:rFonts w:ascii="Times New Roman" w:hAnsi="Times New Roman"/>
                <w:b/>
                <w:sz w:val="20"/>
              </w:rPr>
              <w:t>SolZ EUR</w:t>
            </w:r>
          </w:p>
        </w:tc>
        <w:tc>
          <w:tcPr>
            <w:tcW w:type="dxa" w:w="1814"/>
          </w:tcPr>
          <w:p>
            <w:r>
              <w:rPr>
                <w:rFonts w:ascii="Times New Roman" w:hAnsi="Times New Roman"/>
                <w:b/>
                <w:sz w:val="20"/>
              </w:rPr>
              <w:t>Hinterziehungszinsen EUR</w:t>
            </w:r>
          </w:p>
        </w:tc>
      </w:tr>
      <w:tr>
        <w:tc>
          <w:tcPr>
            <w:tcW w:type="dxa" w:w="1814"/>
          </w:tcPr>
          <w:p>
            <w:r>
              <w:rPr>
                <w:rFonts w:ascii="Times New Roman" w:hAnsi="Times New Roman"/>
                <w:sz w:val="20"/>
              </w:rPr>
              <w:t>2020</w:t>
            </w:r>
          </w:p>
        </w:tc>
        <w:tc>
          <w:tcPr>
            <w:tcW w:type="dxa" w:w="1814"/>
          </w:tcPr>
          <w:p>
            <w:r>
              <w:rPr>
                <w:rFonts w:ascii="Times New Roman" w:hAnsi="Times New Roman"/>
                <w:sz w:val="20"/>
              </w:rPr>
              <w:t>18.400</w:t>
            </w:r>
          </w:p>
        </w:tc>
        <w:tc>
          <w:tcPr>
            <w:tcW w:type="dxa" w:w="1814"/>
          </w:tcPr>
          <w:p>
            <w:r>
              <w:rPr>
                <w:rFonts w:ascii="Times New Roman" w:hAnsi="Times New Roman"/>
                <w:sz w:val="20"/>
              </w:rPr>
              <w:t>4.600</w:t>
            </w:r>
          </w:p>
        </w:tc>
        <w:tc>
          <w:tcPr>
            <w:tcW w:type="dxa" w:w="1814"/>
          </w:tcPr>
          <w:p>
            <w:r>
              <w:rPr>
                <w:rFonts w:ascii="Times New Roman" w:hAnsi="Times New Roman"/>
                <w:sz w:val="20"/>
              </w:rPr>
              <w:t>253</w:t>
            </w:r>
          </w:p>
        </w:tc>
        <w:tc>
          <w:tcPr>
            <w:tcW w:type="dxa" w:w="1814"/>
          </w:tcPr>
          <w:p>
            <w:r>
              <w:rPr>
                <w:rFonts w:ascii="Times New Roman" w:hAnsi="Times New Roman"/>
                <w:sz w:val="20"/>
              </w:rPr>
              <w:t>331</w:t>
            </w:r>
          </w:p>
        </w:tc>
      </w:tr>
      <w:tr>
        <w:tc>
          <w:tcPr>
            <w:tcW w:type="dxa" w:w="1814"/>
          </w:tcPr>
          <w:p>
            <w:r>
              <w:rPr>
                <w:rFonts w:ascii="Times New Roman" w:hAnsi="Times New Roman"/>
                <w:sz w:val="20"/>
              </w:rPr>
              <w:t>2021</w:t>
            </w:r>
          </w:p>
        </w:tc>
        <w:tc>
          <w:tcPr>
            <w:tcW w:type="dxa" w:w="1814"/>
          </w:tcPr>
          <w:p>
            <w:r>
              <w:rPr>
                <w:rFonts w:ascii="Times New Roman" w:hAnsi="Times New Roman"/>
                <w:sz w:val="20"/>
              </w:rPr>
              <w:t>21.200</w:t>
            </w:r>
          </w:p>
        </w:tc>
        <w:tc>
          <w:tcPr>
            <w:tcW w:type="dxa" w:w="1814"/>
          </w:tcPr>
          <w:p>
            <w:r>
              <w:rPr>
                <w:rFonts w:ascii="Times New Roman" w:hAnsi="Times New Roman"/>
                <w:sz w:val="20"/>
              </w:rPr>
              <w:t>5.300</w:t>
            </w:r>
          </w:p>
        </w:tc>
        <w:tc>
          <w:tcPr>
            <w:tcW w:type="dxa" w:w="1814"/>
          </w:tcPr>
          <w:p>
            <w:r>
              <w:rPr>
                <w:rFonts w:ascii="Times New Roman" w:hAnsi="Times New Roman"/>
                <w:sz w:val="20"/>
              </w:rPr>
              <w:t>292</w:t>
            </w:r>
          </w:p>
        </w:tc>
        <w:tc>
          <w:tcPr>
            <w:tcW w:type="dxa" w:w="1814"/>
          </w:tcPr>
          <w:p>
            <w:r>
              <w:rPr>
                <w:rFonts w:ascii="Times New Roman" w:hAnsi="Times New Roman"/>
                <w:sz w:val="20"/>
              </w:rPr>
              <w:t>286</w:t>
            </w:r>
          </w:p>
        </w:tc>
      </w:tr>
      <w:tr>
        <w:tc>
          <w:tcPr>
            <w:tcW w:type="dxa" w:w="1814"/>
          </w:tcPr>
          <w:p>
            <w:r>
              <w:rPr>
                <w:rFonts w:ascii="Times New Roman" w:hAnsi="Times New Roman"/>
                <w:sz w:val="20"/>
              </w:rPr>
              <w:t>2022</w:t>
            </w:r>
          </w:p>
        </w:tc>
        <w:tc>
          <w:tcPr>
            <w:tcW w:type="dxa" w:w="1814"/>
          </w:tcPr>
          <w:p>
            <w:r>
              <w:rPr>
                <w:rFonts w:ascii="Times New Roman" w:hAnsi="Times New Roman"/>
                <w:sz w:val="20"/>
              </w:rPr>
              <w:t>24.800</w:t>
            </w:r>
          </w:p>
        </w:tc>
        <w:tc>
          <w:tcPr>
            <w:tcW w:type="dxa" w:w="1814"/>
          </w:tcPr>
          <w:p>
            <w:r>
              <w:rPr>
                <w:rFonts w:ascii="Times New Roman" w:hAnsi="Times New Roman"/>
                <w:sz w:val="20"/>
              </w:rPr>
              <w:t>6.200</w:t>
            </w:r>
          </w:p>
        </w:tc>
        <w:tc>
          <w:tcPr>
            <w:tcW w:type="dxa" w:w="1814"/>
          </w:tcPr>
          <w:p>
            <w:r>
              <w:rPr>
                <w:rFonts w:ascii="Times New Roman" w:hAnsi="Times New Roman"/>
                <w:sz w:val="20"/>
              </w:rPr>
              <w:t>341</w:t>
            </w:r>
          </w:p>
        </w:tc>
        <w:tc>
          <w:tcPr>
            <w:tcW w:type="dxa" w:w="1814"/>
          </w:tcPr>
          <w:p>
            <w:r>
              <w:rPr>
                <w:rFonts w:ascii="Times New Roman" w:hAnsi="Times New Roman"/>
                <w:sz w:val="20"/>
              </w:rPr>
              <w:t>223</w:t>
            </w:r>
          </w:p>
        </w:tc>
      </w:tr>
      <w:tr>
        <w:tc>
          <w:tcPr>
            <w:tcW w:type="dxa" w:w="1814"/>
          </w:tcPr>
          <w:p>
            <w:r>
              <w:rPr>
                <w:rFonts w:ascii="Times New Roman" w:hAnsi="Times New Roman"/>
                <w:sz w:val="20"/>
              </w:rPr>
              <w:t>2023</w:t>
            </w:r>
          </w:p>
        </w:tc>
        <w:tc>
          <w:tcPr>
            <w:tcW w:type="dxa" w:w="1814"/>
          </w:tcPr>
          <w:p>
            <w:r>
              <w:rPr>
                <w:rFonts w:ascii="Times New Roman" w:hAnsi="Times New Roman"/>
                <w:sz w:val="20"/>
              </w:rPr>
              <w:t>19.600</w:t>
            </w:r>
          </w:p>
        </w:tc>
        <w:tc>
          <w:tcPr>
            <w:tcW w:type="dxa" w:w="1814"/>
          </w:tcPr>
          <w:p>
            <w:r>
              <w:rPr>
                <w:rFonts w:ascii="Times New Roman" w:hAnsi="Times New Roman"/>
                <w:sz w:val="20"/>
              </w:rPr>
              <w:t>4.900</w:t>
            </w:r>
          </w:p>
        </w:tc>
        <w:tc>
          <w:tcPr>
            <w:tcW w:type="dxa" w:w="1814"/>
          </w:tcPr>
          <w:p>
            <w:r>
              <w:rPr>
                <w:rFonts w:ascii="Times New Roman" w:hAnsi="Times New Roman"/>
                <w:sz w:val="20"/>
              </w:rPr>
              <w:t>270</w:t>
            </w:r>
          </w:p>
        </w:tc>
        <w:tc>
          <w:tcPr>
            <w:tcW w:type="dxa" w:w="1814"/>
          </w:tcPr>
          <w:p>
            <w:r>
              <w:rPr>
                <w:rFonts w:ascii="Times New Roman" w:hAnsi="Times New Roman"/>
                <w:sz w:val="20"/>
              </w:rPr>
              <w:t>88</w:t>
            </w:r>
          </w:p>
        </w:tc>
      </w:tr>
      <w:tr>
        <w:tc>
          <w:tcPr>
            <w:tcW w:type="dxa" w:w="1814"/>
          </w:tcPr>
          <w:p>
            <w:r>
              <w:rPr>
                <w:rFonts w:ascii="Times New Roman" w:hAnsi="Times New Roman"/>
                <w:sz w:val="20"/>
              </w:rPr>
              <w:t>2024</w:t>
            </w:r>
          </w:p>
        </w:tc>
        <w:tc>
          <w:tcPr>
            <w:tcW w:type="dxa" w:w="1814"/>
          </w:tcPr>
          <w:p>
            <w:r>
              <w:rPr>
                <w:rFonts w:ascii="Times New Roman" w:hAnsi="Times New Roman"/>
                <w:sz w:val="20"/>
              </w:rPr>
              <w:t>22.100</w:t>
            </w:r>
          </w:p>
        </w:tc>
        <w:tc>
          <w:tcPr>
            <w:tcW w:type="dxa" w:w="1814"/>
          </w:tcPr>
          <w:p>
            <w:r>
              <w:rPr>
                <w:rFonts w:ascii="Times New Roman" w:hAnsi="Times New Roman"/>
                <w:sz w:val="20"/>
              </w:rPr>
              <w:t>5.525</w:t>
            </w:r>
          </w:p>
        </w:tc>
        <w:tc>
          <w:tcPr>
            <w:tcW w:type="dxa" w:w="1814"/>
          </w:tcPr>
          <w:p>
            <w:r>
              <w:rPr>
                <w:rFonts w:ascii="Times New Roman" w:hAnsi="Times New Roman"/>
                <w:sz w:val="20"/>
              </w:rPr>
              <w:t>304</w:t>
            </w:r>
          </w:p>
        </w:tc>
        <w:tc>
          <w:tcPr>
            <w:tcW w:type="dxa" w:w="1814"/>
          </w:tcPr>
          <w:p>
            <w:r>
              <w:rPr>
                <w:rFonts w:ascii="Times New Roman" w:hAnsi="Times New Roman"/>
                <w:sz w:val="20"/>
              </w:rPr>
              <w:t>0</w:t>
            </w:r>
          </w:p>
        </w:tc>
      </w:tr>
      <w:tr>
        <w:tc>
          <w:tcPr>
            <w:tcW w:type="dxa" w:w="1814"/>
          </w:tcPr>
          <w:p>
            <w:r>
              <w:rPr>
                <w:rFonts w:ascii="Times New Roman" w:hAnsi="Times New Roman"/>
                <w:b/>
                <w:sz w:val="20"/>
              </w:rPr>
              <w:t>Summe</w:t>
            </w:r>
          </w:p>
        </w:tc>
        <w:tc>
          <w:tcPr>
            <w:tcW w:type="dxa" w:w="1814"/>
          </w:tcPr>
          <w:p>
            <w:r>
              <w:rPr>
                <w:rFonts w:ascii="Times New Roman" w:hAnsi="Times New Roman"/>
                <w:b/>
                <w:sz w:val="20"/>
              </w:rPr>
              <w:t>106.100</w:t>
            </w:r>
          </w:p>
        </w:tc>
        <w:tc>
          <w:tcPr>
            <w:tcW w:type="dxa" w:w="1814"/>
          </w:tcPr>
          <w:p>
            <w:r>
              <w:rPr>
                <w:rFonts w:ascii="Times New Roman" w:hAnsi="Times New Roman"/>
                <w:b/>
                <w:sz w:val="20"/>
              </w:rPr>
              <w:t>26.525</w:t>
            </w:r>
          </w:p>
        </w:tc>
        <w:tc>
          <w:tcPr>
            <w:tcW w:type="dxa" w:w="1814"/>
          </w:tcPr>
          <w:p>
            <w:r>
              <w:rPr>
                <w:rFonts w:ascii="Times New Roman" w:hAnsi="Times New Roman"/>
                <w:b/>
                <w:sz w:val="20"/>
              </w:rPr>
              <w:t>1.460</w:t>
            </w:r>
          </w:p>
        </w:tc>
        <w:tc>
          <w:tcPr>
            <w:tcW w:type="dxa" w:w="1814"/>
          </w:tcPr>
          <w:p>
            <w:r>
              <w:rPr>
                <w:rFonts w:ascii="Times New Roman" w:hAnsi="Times New Roman"/>
                <w:b/>
                <w:sz w:val="20"/>
              </w:rPr>
              <w:t>928</w:t>
            </w:r>
          </w:p>
        </w:tc>
      </w:tr>
    </w:tbl>
    <w:p>
      <w:pPr>
        <w:jc w:val="left"/>
      </w:pPr>
      <w:r>
        <w:t>Gesamtnachzahlung Kapitalerträge ca. EUR 28.913 zzgl. Straffreizuschlag ca. EUR 2.900–5.800.</w:t>
      </w:r>
    </w:p>
    <w:p>
      <w:pPr>
        <w:jc w:val="left"/>
      </w:pPr>
      <w:r>
        <w:rPr>
          <w:b/>
        </w:rPr>
        <w:t>Quellen:</w:t>
      </w:r>
    </w:p>
    <w:p>
      <w:pPr>
        <w:pStyle w:val="ListBullet"/>
      </w:pPr>
      <w:r>
        <w:t>§ 371 AO — https://dejure.org/gesetze/AO/371.html</w:t>
      </w:r>
    </w:p>
    <w:p>
      <w:pPr>
        <w:pStyle w:val="ListBullet"/>
      </w:pPr>
      <w:r>
        <w:t>§ 153 AO — https://dejure.org/gesetze/AO/153.html</w:t>
      </w:r>
    </w:p>
    <w:p>
      <w:pPr>
        <w:pStyle w:val="ListBullet"/>
      </w:pPr>
      <w:r>
        <w:t>§ 235 AO — https://dejure.org/gesetze/AO/235.html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