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Strafverfahren: Eröffnung Steuerstrafrecht</w:t>
      </w:r>
    </w:p>
    <w:p>
      <w:pPr>
        <w:jc w:val="left"/>
      </w:pPr>
      <w:r>
        <w:rPr>
          <w:b/>
        </w:rPr>
        <w:t>AZ Strafverfahren:</w:t>
      </w:r>
      <w:r>
        <w:t xml:space="preserve"> BuStra/StA Augsburg 188 Js 7104/26</w:t>
      </w:r>
    </w:p>
    <w:p>
      <w:pPr>
        <w:jc w:val="left"/>
      </w:pPr>
      <w:r>
        <w:rPr>
          <w:b/>
        </w:rPr>
        <w:t>Betroffener:</w:t>
      </w:r>
      <w:r>
        <w:t xml:space="preserve"> Reinhard Marquardt-Eichenmüller (GF)</w:t>
      </w:r>
    </w:p>
    <w:p>
      <w:pPr>
        <w:jc w:val="left"/>
      </w:pPr>
      <w:r>
        <w:rPr>
          <w:b/>
        </w:rPr>
        <w:t>Eröffnet:</w:t>
      </w:r>
      <w:r>
        <w:t xml:space="preserve"> 22.06.2026 (Mitteilung BuStra an Kanzlei)</w:t>
      </w:r>
    </w:p>
    <w:p>
      <w:pPr>
        <w:jc w:val="left"/>
      </w:pPr>
      <w:r>
        <w:rPr>
          <w:b/>
        </w:rPr>
        <w:t>Tatvorwurf:</w:t>
      </w:r>
      <w:r>
        <w:t xml:space="preserve"> Steuerhinterziehung gem. § 370 AO</w:t>
      </w:r>
    </w:p>
    <w:p/>
    <w:p>
      <w:pPr>
        <w:pStyle w:val="Heading2"/>
      </w:pPr>
      <w:r>
        <w:rPr>
          <w:rFonts w:ascii="Times New Roman" w:hAnsi="Times New Roman"/>
        </w:rPr>
        <w:t>Mitteilung der BuStra</w:t>
      </w:r>
    </w:p>
    <w:p>
      <w:pPr>
        <w:jc w:val="left"/>
      </w:pPr>
      <w:r>
        <w:t>Die Bußgeld- und Strafsachenstelle Augsburg teilt der Kanzlei mit, dass gegen Herrn Marquardt-Eichenmüller wegen des Verdachts der Steuerhinterziehung gem. § 370 Abs. 1 Nr. 1 AO ein Strafverfahren eingeleitet wurde. Grundlage sind die Feststellungen der Betriebsprüfung, insbesondere:</w:t>
      </w:r>
    </w:p>
    <w:p>
      <w:pPr>
        <w:pStyle w:val="ListBullet"/>
      </w:pPr>
      <w:r>
        <w:t>Nichtangabe der LuxCo-Hinzurechnungsbeträge in den Steuererklärungen 2020–2024</w:t>
      </w:r>
    </w:p>
    <w:p>
      <w:pPr>
        <w:pStyle w:val="ListBullet"/>
      </w:pPr>
      <w:r>
        <w:t>Nichtdeklarierung der Kapitalerträge auf luxemburgischem Privatkonto</w:t>
      </w:r>
    </w:p>
    <w:p/>
    <w:p>
      <w:pPr>
        <w:pStyle w:val="Heading2"/>
      </w:pPr>
      <w:r>
        <w:rPr>
          <w:rFonts w:ascii="Times New Roman" w:hAnsi="Times New Roman"/>
        </w:rPr>
        <w:t>Rechtliche Grundlagen § 370 AO</w:t>
      </w:r>
    </w:p>
    <w:p>
      <w:pPr>
        <w:jc w:val="left"/>
      </w:pPr>
      <w:r>
        <w:t>Steuerhinterziehung nach § 370 Abs. 1 AO ist mit Freiheitsstrafe bis zu 5 Jahren oder Geldstrafe bedroht. In besonders schweren Fällen (§ 370 Abs. 3 AO) droht Freiheitsstrafe von 6 Monaten bis zu 10 Jahren, insbesondere bei großem Ausmaß (ab EUR 50.000 nach BGH) oder gewerbsmäßiger Begehung.</w:t>
      </w:r>
    </w:p>
    <w:p>
      <w:pPr>
        <w:jc w:val="left"/>
      </w:pPr>
      <w:r>
        <w:t>Der hinterzogene Betrag liegt nach Prüfungsschätzung bei EUR 608.000–748.000 (Luxemburg AStG EUR 580.000–720.000 + Kapitalerträge ca. EUR 28.000). Dies liegt im Bereich des "großen Ausmaßes" nach BGH 1 StR 416/08 (BStBl. II 2009, 760).</w:t>
      </w:r>
    </w:p>
    <w:p/>
    <w:p>
      <w:pPr>
        <w:pStyle w:val="Heading2"/>
      </w:pPr>
      <w:r>
        <w:rPr>
          <w:rFonts w:ascii="Times New Roman" w:hAnsi="Times New Roman"/>
        </w:rPr>
        <w:t>Sofortmaßnahmen</w:t>
      </w:r>
    </w:p>
    <w:p>
      <w:pPr>
        <w:pStyle w:val="ListNumber"/>
      </w:pPr>
      <w:r>
        <w:rPr>
          <w:b/>
        </w:rPr>
        <w:t>Schweigen als Beschuldigter:</w:t>
      </w:r>
      <w:r>
        <w:t xml:space="preserve"> Herr Marquardt-Eichenmüller wird ausdrücklich angewiesen, gegenüber der BuStra, dem FA und der Staatsanwaltschaft keine Aussagen zu machen (§ 136 StPO).</w:t>
      </w:r>
    </w:p>
    <w:p>
      <w:pPr>
        <w:pStyle w:val="ListNumber"/>
      </w:pPr>
      <w:r>
        <w:rPr>
          <w:b/>
        </w:rPr>
        <w:t>Akteneinsicht:</w:t>
      </w:r>
      <w:r>
        <w:t xml:space="preserve"> Antrag auf Akteneinsicht durch Dr. Vellbruck-Steinheim (§ 147 StPO).</w:t>
      </w:r>
    </w:p>
    <w:p>
      <w:pPr>
        <w:pStyle w:val="ListNumber"/>
      </w:pPr>
      <w:r>
        <w:rPr>
          <w:b/>
        </w:rPr>
        <w:t>Selbstanzeige als Straffreiheitsgrund:</w:t>
      </w:r>
      <w:r>
        <w:t xml:space="preserve"> Die bereits vorbereitete Selbstanzeige (s. Aktenstück 14) ist unverzüglich einzureichen.</w:t>
      </w:r>
    </w:p>
    <w:p>
      <w:pPr>
        <w:pStyle w:val="ListNumber"/>
      </w:pPr>
      <w:r>
        <w:rPr>
          <w:b/>
        </w:rPr>
        <w:t>Durchsuchungsschutz:</w:t>
      </w:r>
      <w:r>
        <w:t xml:space="preserve"> Mandant wird über Verhalten bei evtl. Durchsuchung informiert (kein aktives Behindern, keine freiwillige Herausgabe ohne anwaltliche Rücksprache).</w:t>
      </w:r>
    </w:p>
    <w:p/>
    <w:p>
      <w:pPr>
        <w:pStyle w:val="Heading2"/>
      </w:pPr>
      <w:r>
        <w:rPr>
          <w:rFonts w:ascii="Times New Roman" w:hAnsi="Times New Roman"/>
        </w:rPr>
        <w:t>Strafrahmen und Prognose</w:t>
      </w:r>
    </w:p>
    <w:p>
      <w:pPr>
        <w:jc w:val="left"/>
      </w:pPr>
      <w:r>
        <w:t>Bei einem Hinterziehungsbetrag von EUR 608.000 ist nach BGH-Leitlinien in der Regel eine Bewährungsstrafe möglich (bis zu 2 Jahre Freiheitsstrafe auf Bewährung), wenn keine Vorstrafen vorliegen, Schadenswiedergutmachung geleistet wird und der Täter geständig kooperiert.</w:t>
      </w:r>
    </w:p>
    <w:p>
      <w:pPr>
        <w:jc w:val="left"/>
      </w:pPr>
      <w:r>
        <w:t>Relevante BGH-Entscheidung: BGH 1 StR 416/08 (Großes Ausmaß bei Steuerhinterziehung — openjur.de).</w:t>
      </w:r>
    </w:p>
    <w:p>
      <w:pPr>
        <w:jc w:val="left"/>
      </w:pPr>
      <w:r>
        <w:rPr>
          <w:b/>
        </w:rPr>
        <w:t>Prognose Dr. Vellbruck-Steinheim:</w:t>
      </w:r>
      <w:r>
        <w:t xml:space="preserve"> Bei vollständiger Selbstanzeige, sofortiger Nachzahlung und kooperativer Haltung: Geldstrafe oder Bewährungsstrafe wahrscheinlich. Unbedingte Freiheitsstrafe nicht ausgeschlossen bei Hinterziehung über EUR 1 Mio. oder fehlgeschlagener Selbstanzeige.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370 AO — https://dejure.org/gesetze/AO/370.html</w:t>
      </w:r>
    </w:p>
    <w:p>
      <w:pPr>
        <w:pStyle w:val="ListBullet"/>
      </w:pPr>
      <w:r>
        <w:t>§ 371 AO — https://dejure.org/gesetze/AO/371.html</w:t>
      </w:r>
    </w:p>
    <w:p>
      <w:pPr>
        <w:pStyle w:val="ListBullet"/>
      </w:pPr>
      <w:r>
        <w:t>BGH 1 StR 416/08 — https://openjur.de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