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Tatsächliche Verständigung mit dem Finanzamt</w:t>
      </w:r>
    </w:p>
    <w:p>
      <w:pPr>
        <w:jc w:val="left"/>
      </w:pPr>
      <w:r>
        <w:rPr>
          <w:b/>
        </w:rPr>
        <w:t>Verfahren:</w:t>
      </w:r>
      <w:r>
        <w:t xml:space="preserve"> Tatsächliche Verständigung (TV) als Instrument der Streitvermeidung</w:t>
      </w:r>
    </w:p>
    <w:p>
      <w:pPr>
        <w:jc w:val="left"/>
      </w:pPr>
      <w:r>
        <w:rPr>
          <w:b/>
        </w:rPr>
        <w:t>Beteiligte:</w:t>
      </w:r>
      <w:r>
        <w:t xml:space="preserve"> FA Augsburg-Stadt (VL Regierungsrätin Dr. Birke Saalbach), Kanzlei VS-2026-StR-0508</w:t>
      </w:r>
    </w:p>
    <w:p>
      <w:pPr>
        <w:jc w:val="left"/>
      </w:pPr>
      <w:r>
        <w:rPr>
          <w:b/>
        </w:rPr>
        <w:t>Datum Sondierung:</w:t>
      </w:r>
      <w:r>
        <w:t xml:space="preserve"> 15.09.2026</w:t>
      </w:r>
    </w:p>
    <w:p/>
    <w:p>
      <w:pPr>
        <w:pStyle w:val="Heading2"/>
      </w:pPr>
      <w:r>
        <w:rPr>
          <w:rFonts w:ascii="Times New Roman" w:hAnsi="Times New Roman"/>
        </w:rPr>
        <w:t>Was ist eine Tatsächliche Verständigung?</w:t>
      </w:r>
    </w:p>
    <w:p>
      <w:pPr>
        <w:jc w:val="left"/>
      </w:pPr>
      <w:r>
        <w:t>Die tatsächliche Verständigung ist ein informelles Instrument im deutschen Steuerrecht, mit dem FA und Steuerpflichtiger bei strittigen Sachverhaltsfragen eine einvernehmliche Lösung finden können, ohne ein langwieriges Rechtsbehelfsverfahren durchzuführen. Sie ist keine Einigung über Rechtsfragen, sondern nur über tatsächliche Sachverhalte (Sachverhaltsverständigung).</w:t>
      </w:r>
    </w:p>
    <w:p>
      <w:pPr>
        <w:jc w:val="left"/>
      </w:pPr>
      <w:r>
        <w:t>Die Rechtsgrundlage ergibt sich aus der ständigen BFH-Rechtsprechung (BFH IV R 1/11, BStBl. II 2013, 407). Voraussetzungen: Vorliegen erheblicher Unsicherheit, gegenseitiges Entgegenkommen, Schriftlichkeit, Unterzeichnung durch zuständigen FA-Beamten.</w:t>
      </w:r>
    </w:p>
    <w:p/>
    <w:p>
      <w:pPr>
        <w:pStyle w:val="Heading2"/>
      </w:pPr>
      <w:r>
        <w:rPr>
          <w:rFonts w:ascii="Times New Roman" w:hAnsi="Times New Roman"/>
        </w:rPr>
        <w:t>Verständigungsrahmen</w:t>
      </w:r>
    </w:p>
    <w:p>
      <w:pPr>
        <w:jc w:val="left"/>
      </w:pPr>
      <w:r>
        <w:t>Das FA signalisiert Bereitschaft zu einer TV für folgende Punkte:</w:t>
      </w:r>
    </w:p>
    <w:p>
      <w:pPr>
        <w:pStyle w:val="Heading3"/>
      </w:pPr>
      <w:r>
        <w:rPr>
          <w:rFonts w:ascii="Times New Roman" w:hAnsi="Times New Roman"/>
        </w:rPr>
        <w:t>TV-Punkt 1: vGA Fremdvergleich Bruder (BP-3)</w:t>
      </w:r>
    </w:p>
    <w:p>
      <w:pPr>
        <w:pStyle w:val="ListBullet"/>
      </w:pPr>
      <w:r>
        <w:t>FA-Position: EUR 43.000/Jahr vGA (Fremdvergleich EUR 52.000)</w:t>
      </w:r>
    </w:p>
    <w:p>
      <w:pPr>
        <w:pStyle w:val="ListBullet"/>
      </w:pPr>
      <w:r>
        <w:t>Kanzlei-Angebot: EUR 23.000/Jahr vGA (Fremdvergleich EUR 72.000)</w:t>
      </w:r>
    </w:p>
    <w:p>
      <w:pPr>
        <w:pStyle w:val="ListBullet"/>
      </w:pPr>
      <w:r>
        <w:rPr>
          <w:b/>
        </w:rPr>
        <w:t>TV-Vorschlag:</w:t>
      </w:r>
      <w:r>
        <w:t xml:space="preserve"> EUR 32.000/Jahr vGA (Fremdvergleich EUR 63.000)</w:t>
      </w:r>
    </w:p>
    <w:p>
      <w:pPr>
        <w:pStyle w:val="Heading3"/>
      </w:pPr>
      <w:r>
        <w:rPr>
          <w:rFonts w:ascii="Times New Roman" w:hAnsi="Times New Roman"/>
        </w:rPr>
        <w:t>TV-Punkt 2: Kassenhinzuschätzung (BP-6)</w:t>
      </w:r>
    </w:p>
    <w:p>
      <w:pPr>
        <w:pStyle w:val="ListBullet"/>
      </w:pPr>
      <w:r>
        <w:t>FA-Position: EUR 10.000/Jahr</w:t>
      </w:r>
    </w:p>
    <w:p>
      <w:pPr>
        <w:pStyle w:val="ListBullet"/>
      </w:pPr>
      <w:r>
        <w:t>Kanzlei-Angebot: EUR 7.000/Jahr</w:t>
      </w:r>
    </w:p>
    <w:p>
      <w:pPr>
        <w:pStyle w:val="ListBullet"/>
      </w:pPr>
      <w:r>
        <w:rPr>
          <w:b/>
        </w:rPr>
        <w:t>TV-Vorschlag:</w:t>
      </w:r>
      <w:r>
        <w:t xml:space="preserve"> EUR 8.500/Jahr</w:t>
      </w:r>
    </w:p>
    <w:p>
      <w:pPr>
        <w:pStyle w:val="Heading3"/>
      </w:pPr>
      <w:r>
        <w:rPr>
          <w:rFonts w:ascii="Times New Roman" w:hAnsi="Times New Roman"/>
        </w:rPr>
        <w:t>TV-Punkt 3 (für Strafverfahren): Hinterziehungsbetrag</w:t>
      </w:r>
    </w:p>
    <w:p>
      <w:pPr>
        <w:pStyle w:val="ListBullet"/>
      </w:pPr>
      <w:r>
        <w:t>Dies betrifft das koordinierte Vorgehen mit der BuStra. Eine tatsächliche Verständigung über den Hinterziehungsbetrag im Steuerfestsetzungsverfahren schlägt auf das Strafmaß durch.</w:t>
      </w:r>
    </w:p>
    <w:p>
      <w:pPr>
        <w:pStyle w:val="ListBullet"/>
      </w:pPr>
      <w:r>
        <w:t>TV-Vorschlag: Hinterziehungsbetrag gesamt EUR 420.000 (statt FA-Ansatz EUR 608.000–748.000).</w:t>
      </w:r>
    </w:p>
    <w:p/>
    <w:p>
      <w:pPr>
        <w:pStyle w:val="Heading2"/>
      </w:pPr>
      <w:r>
        <w:rPr>
          <w:rFonts w:ascii="Times New Roman" w:hAnsi="Times New Roman"/>
        </w:rPr>
        <w:t>Bindungswirkung und Risiken</w:t>
      </w:r>
    </w:p>
    <w:p>
      <w:pPr>
        <w:jc w:val="left"/>
      </w:pPr>
      <w:r>
        <w:t>Die TV entfaltet Bindungswirkung für FA und Steuerpflichtigen; eine spätere Abweichung ist nur bei Arglist oder Irrtum möglich. Sie bindet das Finanzgericht nicht, hat aber starke faktische Wirkung.</w:t>
      </w:r>
    </w:p>
    <w:p>
      <w:pPr>
        <w:jc w:val="left"/>
      </w:pPr>
      <w:r>
        <w:rPr>
          <w:b/>
        </w:rPr>
        <w:t>Risiko:</w:t>
      </w:r>
      <w:r>
        <w:t xml:space="preserve"> Durch die TV wird ein Teil des strittigen Luxemburg-Betrags (BP-5) akzeptiert, was strafrechtlich als faktisches Geständnis gewertet werden kann. Dr. Vellbruck-Steinheim empfiehlt, die TV nicht auf Strafmaßrelevante Beträge auszudehnen, bis eine Absprache mit der BuStra erfolgt ist (koordiniertes Vorgehen § 385 ff. AO, § 153a StPO).</w:t>
      </w:r>
    </w:p>
    <w:p/>
    <w:p>
      <w:pPr>
        <w:pStyle w:val="Heading2"/>
      </w:pPr>
      <w:r>
        <w:rPr>
          <w:rFonts w:ascii="Times New Roman" w:hAnsi="Times New Roman"/>
        </w:rPr>
        <w:t>Nächste Schritte</w:t>
      </w:r>
    </w:p>
    <w:p>
      <w:pPr>
        <w:pStyle w:val="ListBullet"/>
      </w:pPr>
      <w:r>
        <w:t>Entwurf TV-Vereinbarung durch Kanzlei</w:t>
      </w:r>
    </w:p>
    <w:p>
      <w:pPr>
        <w:pStyle w:val="ListBullet"/>
      </w:pPr>
      <w:r>
        <w:t>Abstimmung mit BuStra zur Strafmaßrelevanz</w:t>
      </w:r>
    </w:p>
    <w:p>
      <w:pPr>
        <w:pStyle w:val="ListBullet"/>
      </w:pPr>
      <w:r>
        <w:t>Unterzeichnung geplant: Oktober 2026</w:t>
      </w:r>
    </w:p>
    <w:p>
      <w:pPr>
        <w:jc w:val="left"/>
      </w:pPr>
      <w:r>
        <w:rPr>
          <w:b/>
        </w:rPr>
        <w:t>Quellen:</w:t>
      </w:r>
    </w:p>
    <w:p>
      <w:pPr>
        <w:pStyle w:val="ListBullet"/>
      </w:pPr>
      <w:r>
        <w:t>BFH IV R 1/11 — https://www.bundesfinanzhof.de</w:t>
      </w:r>
    </w:p>
    <w:p>
      <w:pPr>
        <w:pStyle w:val="ListBullet"/>
      </w:pPr>
      <w:r>
        <w:t>§§ 385 ff. AO — https://dejure.org/gesetze/AO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