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19 — Anwaltsstrategie: Strafrechtliche Folgen</w:t>
      </w:r>
    </w:p>
    <w:p>
      <w:pPr>
        <w:jc w:val="left"/>
      </w:pPr>
      <w:r>
        <w:rPr>
          <w:b/>
        </w:rPr>
        <w:t>Verfasst von:</w:t>
      </w:r>
      <w:r>
        <w:t xml:space="preserve"> Dr. Cornelia Vellbruck-Steinheim</w:t>
      </w:r>
    </w:p>
    <w:p>
      <w:pPr>
        <w:jc w:val="left"/>
      </w:pPr>
      <w:r>
        <w:rPr>
          <w:b/>
        </w:rPr>
        <w:t>Datum:</w:t>
      </w:r>
      <w:r>
        <w:t xml:space="preserve"> 23.06.2026</w:t>
      </w:r>
    </w:p>
    <w:p>
      <w:pPr>
        <w:jc w:val="left"/>
      </w:pPr>
      <w:r>
        <w:rPr>
          <w:b/>
        </w:rPr>
        <w:t>Vertraulich — Nur für Mandant und StB-Team</w:t>
      </w:r>
    </w:p>
    <w:p/>
    <w:p>
      <w:pPr>
        <w:pStyle w:val="Heading2"/>
      </w:pPr>
      <w:r>
        <w:rPr>
          <w:rFonts w:ascii="Times New Roman" w:hAnsi="Times New Roman"/>
        </w:rPr>
        <w:t>Ausgangslage</w:t>
      </w:r>
    </w:p>
    <w:p>
      <w:pPr>
        <w:jc w:val="left"/>
      </w:pPr>
      <w:r>
        <w:t>Mit Einleitung des Strafverfahrens (188 Js 7104/26) durch die BuStra Augsburg hat sich die Ausgangslage grundlegend verändert. Die Betriebsprüfung ist nun auch ein Strafverfahren. Jede Äußerung des Mandanten gegenüber Finanzbehörden kann strafrechtlich verwertet werden.</w:t>
      </w:r>
    </w:p>
    <w:p/>
    <w:p>
      <w:pPr>
        <w:pStyle w:val="Heading2"/>
      </w:pPr>
      <w:r>
        <w:rPr>
          <w:rFonts w:ascii="Times New Roman" w:hAnsi="Times New Roman"/>
        </w:rPr>
        <w:t>Drei-Säulen-Strategie</w:t>
      </w:r>
    </w:p>
    <w:p>
      <w:pPr>
        <w:pStyle w:val="Heading3"/>
      </w:pPr>
      <w:r>
        <w:rPr>
          <w:rFonts w:ascii="Times New Roman" w:hAnsi="Times New Roman"/>
        </w:rPr>
        <w:t>Säule 1: Sofortige Selbstanzeige (§ 371 AO)</w:t>
      </w:r>
    </w:p>
    <w:p>
      <w:pPr>
        <w:jc w:val="left"/>
      </w:pPr>
      <w:r>
        <w:t>Die Selbstanzeige für die Kapitalerträge auf dem Luxemburger Privatkonto ist innerhalb von 72 Stunden zu erstatten. Ziel: Straffreiheit für die Kapitalerträge (EUR 28.913 Nachzahlung). Diese Säule ist bereits vorbereitet.</w:t>
      </w:r>
    </w:p>
    <w:p>
      <w:pPr>
        <w:jc w:val="left"/>
      </w:pPr>
      <w:r>
        <w:rPr>
          <w:b/>
        </w:rPr>
        <w:t>Sperrwirkungsproblem (s. Aktenstück 14):</w:t>
      </w:r>
      <w:r>
        <w:t xml:space="preserve"> Das Risiko besteht, dass die BuStra die Selbstanzeige wegen § 371 Abs. 2 Nr. 1a AO als gesperrt zurückweist. In diesem Fall bleibt § 378 AO (leichtfertige Steuerverkürzung, Bußgeld) als Verteidigungsargument.</w:t>
      </w:r>
    </w:p>
    <w:p>
      <w:pPr>
        <w:pStyle w:val="Heading3"/>
      </w:pPr>
      <w:r>
        <w:rPr>
          <w:rFonts w:ascii="Times New Roman" w:hAnsi="Times New Roman"/>
        </w:rPr>
        <w:t>Säule 2: Schadensminimierung im Steuerfestsetzungsverfahren</w:t>
      </w:r>
    </w:p>
    <w:p>
      <w:pPr>
        <w:jc w:val="left"/>
      </w:pPr>
      <w:r>
        <w:t>Jede Reduzierung des steuerlichen Hinterziehungsbetrags (durch TV oder FG-Klage) senkt direkt den strafrechtlichen Vorwurf. Das FG-Urteil wirkt im Strafverfahren faktisch als Sachverständigengutachten.</w:t>
      </w:r>
    </w:p>
    <w:p>
      <w:pPr>
        <w:jc w:val="left"/>
      </w:pPr>
      <w:r>
        <w:rPr>
          <w:b/>
        </w:rPr>
        <w:t>Ziel:</w:t>
      </w:r>
      <w:r>
        <w:t xml:space="preserve"> Reduzierung des steuerlichen Hinterziehungsbetrags auf unter EUR 100.000 (Grenzwert für besonders schweren Fall nach § 370 Abs. 3 AO). Dies ist ambitiös, aber durch TV und BFH-Verfahren möglich.</w:t>
      </w:r>
    </w:p>
    <w:p>
      <w:pPr>
        <w:pStyle w:val="Heading3"/>
      </w:pPr>
      <w:r>
        <w:rPr>
          <w:rFonts w:ascii="Times New Roman" w:hAnsi="Times New Roman"/>
        </w:rPr>
        <w:t>Säule 3: Strafverfahren — Verfahrensabsprache</w:t>
      </w:r>
    </w:p>
    <w:p>
      <w:pPr>
        <w:jc w:val="left"/>
      </w:pPr>
      <w:r>
        <w:t>Nach erfolgreicher Selbstanzeige (Säule 1) und Schadensminimierung (Säule 2) ist das Ziel eine Verfahrenseinstellung gem. § 153a StPO gegen Zahlung einer Geldauflage. Die StA Augsburg akzeptiert bei kooperativer Haltung, vollständiger Schadenswiedergutmachung und erstem Vergehen regelmäßig § 153a-Einstellungen auch bei Hinterziehungsbeträgen bis ca. EUR 500.000 (interne Praxis, nicht kodifiziert).</w:t>
      </w:r>
    </w:p>
    <w:p/>
    <w:p>
      <w:pPr>
        <w:pStyle w:val="Heading2"/>
      </w:pPr>
      <w:r>
        <w:rPr>
          <w:rFonts w:ascii="Times New Roman" w:hAnsi="Times New Roman"/>
        </w:rPr>
        <w:t>Verhaltensanweisungen für den Mandanten</w:t>
      </w:r>
    </w:p>
    <w:p>
      <w:pPr>
        <w:pStyle w:val="ListNumber"/>
      </w:pPr>
      <w:r>
        <w:t>Keine Aussagen gegenüber FA, BuStra oder Polizei ohne vorherige Rücksprache mit Dr. Vellbruck-Steinheim.</w:t>
      </w:r>
    </w:p>
    <w:p>
      <w:pPr>
        <w:pStyle w:val="ListNumber"/>
      </w:pPr>
      <w:r>
        <w:t>Alle Geschäftsunterlagen sichern und nicht verändern (§ 339 StGB: Rechtsbeugung, § 274 StGB: Urkundenunterdrückung vermeiden).</w:t>
      </w:r>
    </w:p>
    <w:p>
      <w:pPr>
        <w:pStyle w:val="ListNumber"/>
      </w:pPr>
      <w:r>
        <w:t>Keine Zahlungen an die LuxCo mehr ohne Abstimmung.</w:t>
      </w:r>
    </w:p>
    <w:p>
      <w:pPr>
        <w:pStyle w:val="ListNumber"/>
      </w:pPr>
      <w:r>
        <w:t>Mitarbeiter nicht zu Aussagen anleiten (§ 160 StGB: Verleitung zur Falschaussage).</w:t>
      </w:r>
    </w:p>
    <w:p/>
    <w:p>
      <w:pPr>
        <w:pStyle w:val="Heading2"/>
      </w:pPr>
      <w:r>
        <w:rPr>
          <w:rFonts w:ascii="Times New Roman" w:hAnsi="Times New Roman"/>
        </w:rPr>
        <w:t>Mandantenberuhigung</w:t>
      </w:r>
    </w:p>
    <w:p>
      <w:pPr>
        <w:jc w:val="left"/>
      </w:pPr>
      <w:r>
        <w:t>Es ist wichtig, dem Mandanten zu vermitteln: Ein Strafverfahren wegen Steuerhinterziehung führt in den allermeisten Fällen bei kooperativer Haltung und vollständiger Zahlung nicht zu Gefängnis. Statistisch enden über 80% der deutschen Steuerstrafverfahren mit Geldstrafe oder Einstellung nach § 153a StPO.</w:t>
      </w:r>
    </w:p>
    <w:p>
      <w:pPr>
        <w:jc w:val="left"/>
      </w:pPr>
      <w:r>
        <w:rPr>
          <w:b/>
        </w:rPr>
        <w:t>Quellen:</w:t>
      </w:r>
    </w:p>
    <w:p>
      <w:pPr>
        <w:pStyle w:val="ListBullet"/>
      </w:pPr>
      <w:r>
        <w:t>§ 370 AO — https://dejure.org/gesetze/AO/370.html</w:t>
      </w:r>
    </w:p>
    <w:p>
      <w:pPr>
        <w:pStyle w:val="ListBullet"/>
      </w:pPr>
      <w:r>
        <w:t>§ 153a StPO — https://dejure.org/gesetze/StPO/153a.html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