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Handlungsplan: Compliance und Zukunftssicherung</w:t>
      </w:r>
    </w:p>
    <w:p>
      <w:pPr>
        <w:jc w:val="left"/>
      </w:pPr>
      <w:r>
        <w:rPr>
          <w:b/>
        </w:rPr>
        <w:t>Erstellt:</w:t>
      </w:r>
      <w:r>
        <w:t xml:space="preserve"> Oktober 2026</w:t>
      </w:r>
    </w:p>
    <w:p>
      <w:pPr>
        <w:jc w:val="left"/>
      </w:pPr>
      <w:r>
        <w:rPr>
          <w:b/>
        </w:rPr>
        <w:t>Autor:</w:t>
      </w:r>
      <w:r>
        <w:t xml:space="preserve"> Gemeinsam Dr. Vellbruck-Steinheim und StB Roosendaal</w:t>
      </w:r>
    </w:p>
    <w:p/>
    <w:p>
      <w:pPr>
        <w:pStyle w:val="Heading2"/>
      </w:pPr>
      <w:r>
        <w:rPr>
          <w:rFonts w:ascii="Times New Roman" w:hAnsi="Times New Roman"/>
        </w:rPr>
        <w:t>Sofortmaßnahmen (Oktober–Dezember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Selbstanzeige § 371 AO Kapitalerträge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Nachzahlung Kapitalerträge EUR 28.913 + Zinsen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Tage nach Fristsetzung FA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Einspruch gegen Betriebsprüfungsbescheide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Innerhalb Monatsfrist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AdV-Antrag für BP-5 und BP-3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Einspruch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Berichtigte Rechnungen Portugal vollständig abschließen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GoBD-konformes Kassensystem Filiale installieren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IT-Dienstleister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November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LuxCo: Entscheidung über Weiterführung oder Auflösung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 +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November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Mittelfristige Maßnahmen (2027)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Compliance-Richtlinien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Einführung eines Tax-Compliance-Management-Systems (CMS)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Vertragsrevision nahestehende Personen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Verträge mit Bruder, Familienangehörigen auf Fremdvergleich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Kfz-Pool Neuordnung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Einführung verbindlicher Fahrtenbücher oder Übergang zur pauschalen 1%-Regelung mit vollständiger Dokumentation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Verrechnungspreisdokumentation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 VP-Dokumentation gem. § 90 Abs. 3 AO für alle Auslandsbeziehungen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Transfer Pricing Policy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Schriftliche Richtlinie für Verrechnungspreise LuxCo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LuxCo-Optionen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Steuerliche 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Aufwand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Sofortige Liquidation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Endet die AStG-Belastung ab 2027; rückwirkende Korrektur nicht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Substanzverstärkung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Einstellung eines Mitarbeiters in Luxemburg; könnte AStG-Belastung ab 2027 beenden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(Kosten EUR 60.000+/Jahr)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Umstrukturierung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Integration der LuxCo-Funktion in dt.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 bis Mittel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Liquidation der LuxCo im Jahr 2027 nach Abschluss des Betriebsprüfungsverfahrens und der Selbstanzeige. Gleichzeitig keine neuen Auslandsstrukturen ohne vorherige steuerliche Beratung.</w:t>
      </w:r>
    </w:p>
    <w:p/>
    <w:p>
      <w:pPr>
        <w:pStyle w:val="Heading2"/>
      </w:pPr>
      <w:r>
        <w:rPr>
          <w:rFonts w:ascii="Times New Roman" w:hAnsi="Times New Roman"/>
        </w:rPr>
        <w:t>Zeitplan Verfahren 2027–2029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Erwartetes 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Einspruchsentscheidung FA; ggf. FG-Klage Eingang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2027/2028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Strafverfahren BuStra: Ermittlungen, ggf. Einstellung § 153a StPO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München Urteil 1 K 2188/26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2028/2029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 I R 2188/26 — Revisionszulassung oder NZB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BFH-Urteil (frühestens)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