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Aktenstück 03 — BFSG Anwendungsbereich: Prüfung §§ 1, 3 BFSG</w:t>
      </w:r>
    </w:p>
    <w:p>
      <w:pPr>
        <w:jc w:val="left"/>
      </w:pPr>
      <w:r>
        <w:rPr>
          <w:b/>
        </w:rPr>
        <w:t>Bearbeitungsstand:</w:t>
      </w:r>
      <w:r>
        <w:t xml:space="preserve"> März 2026</w:t>
      </w:r>
    </w:p>
    <w:p>
      <w:pPr>
        <w:jc w:val="left"/>
      </w:pPr>
      <w:r>
        <w:rPr>
          <w:b/>
        </w:rPr>
        <w:t>Bearb.:</w:t>
      </w:r>
      <w:r>
        <w:t xml:space="preserve"> Dr. A. Friedrichs</w:t>
      </w:r>
    </w:p>
    <w:p/>
    <w:p>
      <w:pPr>
        <w:pStyle w:val="Heading2"/>
      </w:pPr>
      <w:r>
        <w:rPr>
          <w:rFonts w:ascii="Times New Roman" w:hAnsi="Times New Roman"/>
        </w:rPr>
        <w:t>1. Prüfungsgegenstand</w:t>
      </w:r>
    </w:p>
    <w:p>
      <w:pPr>
        <w:jc w:val="left"/>
      </w:pPr>
      <w:r>
        <w:t>Zu klären ist, ob der Online-Shop tannenkamp-mode.de dem BFSG unterfällt. Das BFSG (Barrierefreiheitsstärkungsgesetz vom 16.07.2021, BGBl. I S. 2970) setzt die EAA (RL EU 2019/882) in deutsches Recht um. Der Online-Shop ist ab 28.06.2025 Pflichtsubjekt, sofern die Tatbestandsvoraussetzungen der §§ 1–5 BFSG erfüllt sind.</w:t>
      </w:r>
    </w:p>
    <w:p/>
    <w:p>
      <w:pPr>
        <w:pStyle w:val="Heading2"/>
      </w:pPr>
      <w:r>
        <w:rPr>
          <w:rFonts w:ascii="Times New Roman" w:hAnsi="Times New Roman"/>
        </w:rPr>
        <w:t>2. Sachlicher Anwendungsbereich — § 1 BFSG</w:t>
      </w:r>
    </w:p>
    <w:p>
      <w:pPr>
        <w:pStyle w:val="Heading3"/>
      </w:pPr>
      <w:r>
        <w:rPr>
          <w:rFonts w:ascii="Times New Roman" w:hAnsi="Times New Roman"/>
        </w:rPr>
        <w:t>2.1 Dienstleistung E-Commerce</w:t>
      </w:r>
    </w:p>
    <w:p>
      <w:pPr>
        <w:jc w:val="left"/>
      </w:pPr>
      <w:r>
        <w:t>§ 1 Abs. 1 Nr. 2 BFSG i.V.m. Anhang I Abschnitt III EAA erfasst ausdrücklich den „elektronischen Geschäftsverkehr" (E-Commerce). Darunter fällt der Online-Verkauf von Waren über eine Website, wenn die Transaktion elektronisch abgewickelt wird.</w:t>
      </w:r>
    </w:p>
    <w:p>
      <w:pPr>
        <w:jc w:val="left"/>
      </w:pPr>
      <w:r>
        <w:t>Tannenkamp Mode-Versand ermöglicht Bestellungen, Zahlungen und Verwaltung des Kundenkonto vollständig online. Das erfüllt den Begriff des „Dienstleistungserbringers" nach § 2 Nr. 17 BFSG.</w:t>
      </w:r>
    </w:p>
    <w:p>
      <w:pPr>
        <w:jc w:val="left"/>
      </w:pPr>
      <w:r>
        <w:t>Abgrenzungsfrage — Dienstleistung vs. Produkt: Der Online-Shop selbst ist eine Dienstleistung (E-Commerce-Dienstleistung). Die auf der Plattform verkaufte Bekleidung ist ein Produkt. Für die Bekleidung als Produkt gilt BFSG nicht (Bekleidung ist nicht in § 1 Abs. 2 BFSG aufgeführt). Für den Shop als digitale Vertriebsplattform hingegen gilt BFSG vollumfänglich.</w:t>
      </w:r>
    </w:p>
    <w:p>
      <w:pPr>
        <w:jc w:val="left"/>
      </w:pPr>
      <w:r>
        <w:t>Ergebnis: Tannenkamp Mode-Versand ist als E-Commerce-Dienstleistungserbringer erfasst. § 1 Abs. 1 Nr. 2 BFSG ist einschlägig.</w:t>
      </w:r>
    </w:p>
    <w:p>
      <w:pPr>
        <w:pStyle w:val="Heading3"/>
      </w:pPr>
      <w:r>
        <w:rPr>
          <w:rFonts w:ascii="Times New Roman" w:hAnsi="Times New Roman"/>
        </w:rPr>
        <w:t>2.2 Ausnahme § 1 Abs. 3 BFSG — Kleinstunternehmen</w:t>
      </w:r>
    </w:p>
    <w:p>
      <w:pPr>
        <w:jc w:val="left"/>
      </w:pPr>
      <w:r>
        <w:t>§ 1 Abs. 3 BFSG nimmt Kleinstunternehmen mit weniger als 10 Mitarbeitern und weniger als 2 Mio. EUR Jahresumsatz aus dem Anwendungsbereich aus. Tannenkamp hat ca. 140 Mitarbeiter und ca. 18 Mio. EUR Umsatz. Die Ausnahme greift nicht.</w:t>
      </w:r>
    </w:p>
    <w:p/>
    <w:p>
      <w:pPr>
        <w:pStyle w:val="Heading2"/>
      </w:pPr>
      <w:r>
        <w:rPr>
          <w:rFonts w:ascii="Times New Roman" w:hAnsi="Times New Roman"/>
        </w:rPr>
        <w:t>3. Persönlicher Anwendungsbereich — § 3 BFSG</w:t>
      </w:r>
    </w:p>
    <w:p>
      <w:pPr>
        <w:jc w:val="left"/>
      </w:pPr>
      <w:r>
        <w:t>§ 3 BFSG definiert die Pflichtadressaten: „Wirtschaftsakteure", die Produkte in Verkehr bringen oder Dienstleistungen erbringen. Tannenkamp ist Dienstleistungserbringer im Sinne von § 3 Abs. 1 Nr. 2 BFSG. Als GmbH mit Sitz in Deutschland, die Dienstleistungen an Verbraucher im EU-Binnenmarkt erbringt, ist der persönliche Anwendungsbereich gegeben.</w:t>
      </w:r>
    </w:p>
    <w:p/>
    <w:p>
      <w:pPr>
        <w:pStyle w:val="Heading2"/>
      </w:pPr>
      <w:r>
        <w:rPr>
          <w:rFonts w:ascii="Times New Roman" w:hAnsi="Times New Roman"/>
        </w:rPr>
        <w:t>4. Räumlicher Anwendungsbereich</w:t>
      </w:r>
    </w:p>
    <w:p>
      <w:pPr>
        <w:jc w:val="left"/>
      </w:pPr>
      <w:r>
        <w:t>Der Shop richtet sich an Verbraucher in Deutschland sowie im europäischen Ausland (Versand in 12 EU-Länder). Dies ist für die Frage der internationalen Anwendbarkeit relevant, ändert aber nichts an der Geltung deutschen BFSG-Rechts für den in Deutschland niedergelassenen Dienstleistungserbringer.</w:t>
      </w:r>
    </w:p>
    <w:p/>
    <w:p>
      <w:pPr>
        <w:pStyle w:val="Heading2"/>
      </w:pPr>
      <w:r>
        <w:rPr>
          <w:rFonts w:ascii="Times New Roman" w:hAnsi="Times New Roman"/>
        </w:rPr>
        <w:t>5. Ausnahme § 3 Abs. 3 BFSG — unverhältnismäßige Belastung</w:t>
      </w:r>
    </w:p>
    <w:p>
      <w:pPr>
        <w:jc w:val="left"/>
      </w:pPr>
      <w:r>
        <w:t>§ 3 Abs. 3 BFSG sieht eine Ausnahme vor, wenn die Barrierefreiheitsanforderungen eine „unverhältnismäßige Belastung" für den Dienstleistungserbringer bedeuten. Diese Ausnahme ist eng auszulegen (Erwägungsgrund 70 EAA). Für Unternehmen der Größenordnung Tannenkamp (18 Mio. EUR Umsatz, 140 MA) ist eine unverhältnismäßige Belastung nicht begründbar. Sanierungskosten von schätzungsweise 35.000–80.000 EUR (vgl. Aktenstück 20) sind zumutbar.</w:t>
      </w:r>
    </w:p>
    <w:p/>
    <w:p>
      <w:pPr>
        <w:pStyle w:val="Heading2"/>
      </w:pPr>
      <w:r>
        <w:rPr>
          <w:rFonts w:ascii="Times New Roman" w:hAnsi="Times New Roman"/>
        </w:rPr>
        <w:t>6. Ergebnis Anwendbarkeitsprüfung</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Merkmal</w:t>
            </w:r>
          </w:p>
        </w:tc>
        <w:tc>
          <w:tcPr>
            <w:tcW w:type="dxa" w:w="4536"/>
          </w:tcPr>
          <w:p>
            <w:r>
              <w:rPr>
                <w:rFonts w:ascii="Times New Roman" w:hAnsi="Times New Roman"/>
                <w:b/>
                <w:sz w:val="20"/>
              </w:rPr>
              <w:t>Bewertung</w:t>
            </w:r>
          </w:p>
        </w:tc>
      </w:tr>
      <w:tr>
        <w:tc>
          <w:tcPr>
            <w:tcW w:type="dxa" w:w="4536"/>
          </w:tcPr>
          <w:p>
            <w:r>
              <w:rPr>
                <w:rFonts w:ascii="Times New Roman" w:hAnsi="Times New Roman"/>
                <w:sz w:val="20"/>
              </w:rPr>
              <w:t>Sachlicher Anwendungsbereich (E-Commerce)</w:t>
            </w:r>
          </w:p>
        </w:tc>
        <w:tc>
          <w:tcPr>
            <w:tcW w:type="dxa" w:w="4536"/>
          </w:tcPr>
          <w:p>
            <w:r>
              <w:rPr>
                <w:rFonts w:ascii="Times New Roman" w:hAnsi="Times New Roman"/>
                <w:sz w:val="20"/>
              </w:rPr>
              <w:t>Bejaht, § 1 Abs. 1 Nr. 2 BFSG</w:t>
            </w:r>
          </w:p>
        </w:tc>
      </w:tr>
      <w:tr>
        <w:tc>
          <w:tcPr>
            <w:tcW w:type="dxa" w:w="4536"/>
          </w:tcPr>
          <w:p>
            <w:r>
              <w:rPr>
                <w:rFonts w:ascii="Times New Roman" w:hAnsi="Times New Roman"/>
                <w:sz w:val="20"/>
              </w:rPr>
              <w:t>Kleinstunternehmen-Ausnahme</w:t>
            </w:r>
          </w:p>
        </w:tc>
        <w:tc>
          <w:tcPr>
            <w:tcW w:type="dxa" w:w="4536"/>
          </w:tcPr>
          <w:p>
            <w:r>
              <w:rPr>
                <w:rFonts w:ascii="Times New Roman" w:hAnsi="Times New Roman"/>
                <w:sz w:val="20"/>
              </w:rPr>
              <w:t>Verneint (140 MA, 18 Mio. EUR)</w:t>
            </w:r>
          </w:p>
        </w:tc>
      </w:tr>
      <w:tr>
        <w:tc>
          <w:tcPr>
            <w:tcW w:type="dxa" w:w="4536"/>
          </w:tcPr>
          <w:p>
            <w:r>
              <w:rPr>
                <w:rFonts w:ascii="Times New Roman" w:hAnsi="Times New Roman"/>
                <w:sz w:val="20"/>
              </w:rPr>
              <w:t>Persönlicher Anwendungsbereich</w:t>
            </w:r>
          </w:p>
        </w:tc>
        <w:tc>
          <w:tcPr>
            <w:tcW w:type="dxa" w:w="4536"/>
          </w:tcPr>
          <w:p>
            <w:r>
              <w:rPr>
                <w:rFonts w:ascii="Times New Roman" w:hAnsi="Times New Roman"/>
                <w:sz w:val="20"/>
              </w:rPr>
              <w:t>Bejaht, § 3 Abs. 1 Nr. 2 BFSG</w:t>
            </w:r>
          </w:p>
        </w:tc>
      </w:tr>
      <w:tr>
        <w:tc>
          <w:tcPr>
            <w:tcW w:type="dxa" w:w="4536"/>
          </w:tcPr>
          <w:p>
            <w:r>
              <w:rPr>
                <w:rFonts w:ascii="Times New Roman" w:hAnsi="Times New Roman"/>
                <w:sz w:val="20"/>
              </w:rPr>
              <w:t>Unverhältnismäßige Belastung</w:t>
            </w:r>
          </w:p>
        </w:tc>
        <w:tc>
          <w:tcPr>
            <w:tcW w:type="dxa" w:w="4536"/>
          </w:tcPr>
          <w:p>
            <w:r>
              <w:rPr>
                <w:rFonts w:ascii="Times New Roman" w:hAnsi="Times New Roman"/>
                <w:sz w:val="20"/>
              </w:rPr>
              <w:t>Nicht haltbar</w:t>
            </w:r>
          </w:p>
        </w:tc>
      </w:tr>
      <w:tr>
        <w:tc>
          <w:tcPr>
            <w:tcW w:type="dxa" w:w="4536"/>
          </w:tcPr>
          <w:p>
            <w:r>
              <w:rPr>
                <w:rFonts w:ascii="Times New Roman" w:hAnsi="Times New Roman"/>
                <w:b/>
                <w:sz w:val="20"/>
              </w:rPr>
              <w:t>Ergebnis</w:t>
            </w:r>
          </w:p>
        </w:tc>
        <w:tc>
          <w:tcPr>
            <w:tcW w:type="dxa" w:w="4536"/>
          </w:tcPr>
          <w:p>
            <w:r>
              <w:rPr>
                <w:rFonts w:ascii="Times New Roman" w:hAnsi="Times New Roman"/>
                <w:b/>
                <w:sz w:val="20"/>
              </w:rPr>
              <w:t>BFSG anwendbar ab 28.06.2025</w:t>
            </w:r>
          </w:p>
        </w:tc>
      </w:tr>
    </w:tbl>
    <w:p/>
    <w:p>
      <w:pPr>
        <w:pStyle w:val="Heading2"/>
      </w:pPr>
      <w:r>
        <w:rPr>
          <w:rFonts w:ascii="Times New Roman" w:hAnsi="Times New Roman"/>
        </w:rPr>
        <w:t>7. Bedeutung für die Verteidigung</w:t>
      </w:r>
    </w:p>
    <w:p>
      <w:pPr>
        <w:jc w:val="left"/>
      </w:pPr>
      <w:r>
        <w:t>Das BFSG ist anwendbar. Die Verteidigungsstrategie kann sich nicht auf einen fehlenden Anwendungsbereich stützen. Relevante Verteidigungslinien sind:</w:t>
      </w:r>
    </w:p>
    <w:p>
      <w:pPr>
        <w:pStyle w:val="ListBullet"/>
      </w:pPr>
      <w:r>
        <w:t>Übergangsregelungen für Altdienstleistungen (§ 38 BFSG, vgl. Aktenstück 04)</w:t>
      </w:r>
    </w:p>
    <w:p>
      <w:pPr>
        <w:pStyle w:val="ListBullet"/>
      </w:pPr>
      <w:r>
        <w:t>Ausnahmen für bestimmte PDFs (§ 3 Abs. 3 BFSG i.V.m. Erwägungsgrund EAA, vgl. Aktenstück 08)</w:t>
      </w:r>
    </w:p>
    <w:p>
      <w:pPr>
        <w:pStyle w:val="ListBullet"/>
      </w:pPr>
      <w:r>
        <w:t>Verhältnismäßigkeit des Bußgeldes (§ 37 BFSG, vgl. Aktenstück 15)</w:t>
      </w:r>
    </w:p>
    <w:p>
      <w:pPr>
        <w:pStyle w:val="ListBullet"/>
      </w:pPr>
      <w:r>
        <w:t>Mitverschulden/Regress Lavendelhaus Design (vgl. Aktenstück 13)</w:t>
      </w:r>
    </w:p>
    <w:p/>
    <w:p>
      <w:pPr>
        <w:jc w:val="left"/>
      </w:pPr>
      <w:r>
        <w:rPr>
          <w:i/>
        </w:rPr>
        <w:t>Quelle: BFSG, BGBl. I 2021, S. 2970 (dejure.org/gesetze/BFSG); RL EU 2019/882 (EUR-Lex 32019L0882)</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